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E722F" w:rsidRPr="00722434" w:rsidRDefault="001E722F" w:rsidP="003E1202">
      <w:pPr>
        <w:pStyle w:val="Titre1"/>
        <w:numPr>
          <w:ilvl w:val="0"/>
          <w:numId w:val="0"/>
        </w:numPr>
        <w:pBdr>
          <w:bottom w:val="single" w:sz="6" w:space="1" w:color="auto"/>
        </w:pBdr>
        <w:ind w:right="-97"/>
        <w:jc w:val="center"/>
        <w:rPr>
          <w:sz w:val="72"/>
          <w:szCs w:val="72"/>
        </w:rPr>
      </w:pPr>
      <w:bookmarkStart w:id="0" w:name="_Toc164827955"/>
      <w:bookmarkStart w:id="1" w:name="_Toc164839706"/>
      <w:bookmarkStart w:id="2" w:name="_Toc165454366"/>
      <w:bookmarkStart w:id="3" w:name="_Toc166663902"/>
      <w:bookmarkStart w:id="4" w:name="_Toc166916717"/>
      <w:bookmarkStart w:id="5" w:name="_Toc168308084"/>
      <w:bookmarkStart w:id="6" w:name="_Toc168906971"/>
      <w:bookmarkStart w:id="7" w:name="_Toc168907053"/>
      <w:r w:rsidRPr="00722434">
        <w:rPr>
          <w:sz w:val="72"/>
          <w:szCs w:val="72"/>
        </w:rPr>
        <w:t>MEMO</w:t>
      </w:r>
      <w:bookmarkEnd w:id="0"/>
      <w:bookmarkEnd w:id="1"/>
      <w:bookmarkEnd w:id="2"/>
      <w:bookmarkEnd w:id="3"/>
      <w:bookmarkEnd w:id="4"/>
      <w:bookmarkEnd w:id="5"/>
      <w:bookmarkEnd w:id="6"/>
      <w:bookmarkEnd w:id="7"/>
    </w:p>
    <w:p w:rsidR="001E722F" w:rsidRPr="00722434" w:rsidRDefault="001E722F" w:rsidP="003E1202">
      <w:pPr>
        <w:ind w:right="-97"/>
        <w:jc w:val="center"/>
      </w:pPr>
    </w:p>
    <w:p w:rsidR="001E722F" w:rsidRPr="00722434" w:rsidRDefault="001E722F" w:rsidP="003E1202">
      <w:pPr>
        <w:ind w:right="-97"/>
        <w:jc w:val="center"/>
      </w:pPr>
      <w:r w:rsidRPr="00722434">
        <w:t>Auteur : J.E Campagne</w:t>
      </w:r>
    </w:p>
    <w:p w:rsidR="001E722F" w:rsidRDefault="00D5355C" w:rsidP="003E1202">
      <w:pPr>
        <w:pBdr>
          <w:bottom w:val="single" w:sz="6" w:space="9" w:color="auto"/>
        </w:pBdr>
        <w:ind w:right="-97"/>
        <w:jc w:val="center"/>
      </w:pPr>
      <w:r>
        <w:t>Nançay</w:t>
      </w:r>
      <w:r w:rsidR="001E722F">
        <w:t>/</w:t>
      </w:r>
      <w:r w:rsidR="00E1398A">
        <w:t>Abell85/17.11.11</w:t>
      </w:r>
    </w:p>
    <w:p w:rsidR="000911D6" w:rsidRPr="000911D6" w:rsidRDefault="000638EE" w:rsidP="000638EE">
      <w:pPr>
        <w:pBdr>
          <w:bottom w:val="single" w:sz="6" w:space="9" w:color="auto"/>
        </w:pBdr>
        <w:ind w:right="-97"/>
        <w:jc w:val="center"/>
        <w:rPr>
          <w:b/>
          <w:sz w:val="32"/>
        </w:rPr>
      </w:pPr>
      <w:r>
        <w:rPr>
          <w:b/>
          <w:sz w:val="32"/>
        </w:rPr>
        <w:t>DRAFT</w:t>
      </w:r>
    </w:p>
    <w:p w:rsidR="001E722F" w:rsidRPr="00722434" w:rsidRDefault="001E722F" w:rsidP="00B82354">
      <w:pPr>
        <w:pBdr>
          <w:bottom w:val="single" w:sz="6" w:space="9" w:color="auto"/>
        </w:pBdr>
        <w:ind w:right="-97"/>
        <w:jc w:val="both"/>
      </w:pPr>
    </w:p>
    <w:p w:rsidR="001E722F" w:rsidRPr="00722434" w:rsidRDefault="00D5355C" w:rsidP="00B82354">
      <w:pPr>
        <w:pBdr>
          <w:bottom w:val="single" w:sz="6" w:space="9" w:color="auto"/>
        </w:pBdr>
        <w:ind w:right="-97"/>
        <w:jc w:val="both"/>
      </w:pPr>
      <w:r>
        <w:t xml:space="preserve">Diffusion : </w:t>
      </w:r>
      <w:r w:rsidR="00241D03">
        <w:t xml:space="preserve">R. Ansari, P. </w:t>
      </w:r>
      <w:proofErr w:type="spellStart"/>
      <w:r w:rsidR="00241D03">
        <w:t>Colom</w:t>
      </w:r>
      <w:proofErr w:type="spellEnd"/>
      <w:r w:rsidR="00241D03">
        <w:t xml:space="preserve">, Ch. </w:t>
      </w:r>
      <w:proofErr w:type="spellStart"/>
      <w:r w:rsidR="00241D03">
        <w:t>Magneville</w:t>
      </w:r>
      <w:proofErr w:type="spellEnd"/>
      <w:r w:rsidR="00241D03">
        <w:t xml:space="preserve">, J. M. Martin, M. </w:t>
      </w:r>
      <w:proofErr w:type="spellStart"/>
      <w:r w:rsidR="00241D03">
        <w:t>Moniez</w:t>
      </w:r>
      <w:proofErr w:type="spellEnd"/>
      <w:r w:rsidR="00241D03">
        <w:t xml:space="preserve">, </w:t>
      </w:r>
      <w:r w:rsidR="00E1398A">
        <w:t xml:space="preserve">A. </w:t>
      </w:r>
      <w:proofErr w:type="spellStart"/>
      <w:r w:rsidR="00E1398A">
        <w:t>Torrento</w:t>
      </w:r>
      <w:proofErr w:type="spellEnd"/>
    </w:p>
    <w:p w:rsidR="001E722F" w:rsidRPr="00722434" w:rsidRDefault="001E722F" w:rsidP="00B82354">
      <w:pPr>
        <w:pBdr>
          <w:bottom w:val="single" w:sz="6" w:space="9" w:color="auto"/>
        </w:pBdr>
        <w:ind w:right="-97"/>
        <w:jc w:val="both"/>
      </w:pPr>
    </w:p>
    <w:p w:rsidR="00B67EBE" w:rsidRDefault="001E722F" w:rsidP="00241D03">
      <w:pPr>
        <w:pBdr>
          <w:bottom w:val="single" w:sz="6" w:space="9" w:color="auto"/>
        </w:pBdr>
        <w:ind w:right="-97"/>
        <w:jc w:val="both"/>
      </w:pPr>
      <w:r w:rsidRPr="00722434">
        <w:rPr>
          <w:b/>
        </w:rPr>
        <w:t>Objet</w:t>
      </w:r>
      <w:r w:rsidRPr="00722434">
        <w:t xml:space="preserve"> : </w:t>
      </w:r>
      <w:proofErr w:type="spellStart"/>
      <w:r w:rsidR="00E1398A">
        <w:t>Status</w:t>
      </w:r>
      <w:proofErr w:type="spellEnd"/>
      <w:r w:rsidR="00E1398A">
        <w:t xml:space="preserve"> </w:t>
      </w:r>
      <w:r w:rsidR="00241D03">
        <w:t xml:space="preserve">de </w:t>
      </w:r>
      <w:r w:rsidR="000B319A">
        <w:t>l’</w:t>
      </w:r>
      <w:r w:rsidR="00D5355C">
        <w:t xml:space="preserve">analyse des données </w:t>
      </w:r>
      <w:r w:rsidR="00E1398A">
        <w:t>sur Abell85 (2011)</w:t>
      </w:r>
    </w:p>
    <w:p w:rsidR="001E722F" w:rsidRDefault="001E722F" w:rsidP="00B82354">
      <w:pPr>
        <w:pStyle w:val="Titre1"/>
        <w:numPr>
          <w:ilvl w:val="0"/>
          <w:numId w:val="4"/>
        </w:numPr>
        <w:ind w:right="-97"/>
        <w:jc w:val="both"/>
      </w:pPr>
      <w:bookmarkStart w:id="8" w:name="_Ref279749939"/>
      <w:r>
        <w:t>Introduction</w:t>
      </w:r>
      <w:bookmarkEnd w:id="8"/>
    </w:p>
    <w:p w:rsidR="004E7302" w:rsidRDefault="00E1398A" w:rsidP="00824E73">
      <w:pPr>
        <w:jc w:val="both"/>
      </w:pPr>
      <w:r>
        <w:t xml:space="preserve">Ce rapport d’étape couvre la période des prises de données prises entre le 10 avril 2011 et le 12 août 2011 prises sur l’amas Abell85. Les observations en mode ON </w:t>
      </w:r>
      <w:proofErr w:type="gramStart"/>
      <w:r>
        <w:t>ont</w:t>
      </w:r>
      <w:proofErr w:type="gramEnd"/>
      <w:r>
        <w:t xml:space="preserve"> été centrées sur les coordonnées gal</w:t>
      </w:r>
      <w:r w:rsidR="00DA4C38">
        <w:t xml:space="preserve">actiques  suivantes </w:t>
      </w:r>
      <w:r w:rsidR="00953A81">
        <w:t>J2000</w:t>
      </w:r>
      <w:r w:rsidR="00DA4C38">
        <w:t xml:space="preserve">: RA = </w:t>
      </w:r>
      <w:r w:rsidR="00953A81">
        <w:t>0.72139</w:t>
      </w:r>
      <w:r w:rsidR="00DA4C38">
        <w:t xml:space="preserve">/0h43m17s </w:t>
      </w:r>
      <w:r w:rsidR="00953A81">
        <w:t xml:space="preserve">et </w:t>
      </w:r>
    </w:p>
    <w:p w:rsidR="004E7302" w:rsidRDefault="004E7302" w:rsidP="00824E73">
      <w:pPr>
        <w:jc w:val="both"/>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683"/>
      </w:tblGrid>
      <w:tr w:rsidR="004E7302" w:rsidTr="004E7302">
        <w:trPr>
          <w:trHeight w:val="6738"/>
        </w:trPr>
        <w:tc>
          <w:tcPr>
            <w:tcW w:w="8683" w:type="dxa"/>
          </w:tcPr>
          <w:p w:rsidR="004E7302" w:rsidRDefault="005A3F1B" w:rsidP="00824E73">
            <w:pPr>
              <w:jc w:val="both"/>
            </w:pPr>
            <w:r>
              <w:rPr>
                <w:noProof/>
                <w:lang w:eastAsia="fr-FR"/>
              </w:rPr>
              <w:pict>
                <v:shapetype id="_x0000_t202" coordsize="21600,21600" o:spt="202" path="m,l,21600r21600,l21600,xe">
                  <v:stroke joinstyle="miter"/>
                  <v:path gradientshapeok="t" o:connecttype="rect"/>
                </v:shapetype>
                <v:shape id="_x0000_s1135" type="#_x0000_t202" style="position:absolute;left:0;text-align:left;margin-left:34.9pt;margin-top:291.9pt;width:336pt;height:23.5pt;z-index:251663360" stroked="f">
                  <v:textbox style="mso-fit-shape-to-text:t" inset="0,0,0,0">
                    <w:txbxContent>
                      <w:p w:rsidR="00F3742B" w:rsidRPr="00D607A3" w:rsidRDefault="00F3742B" w:rsidP="00D607A3">
                        <w:pPr>
                          <w:pStyle w:val="Lgende"/>
                        </w:pPr>
                        <w:bookmarkStart w:id="9" w:name="_Ref309283552"/>
                        <w:r>
                          <w:t xml:space="preserve">Figure </w:t>
                        </w:r>
                        <w:fldSimple w:instr=" SEQ Figure \* ARABIC ">
                          <w:r w:rsidR="00DD6E13">
                            <w:rPr>
                              <w:noProof/>
                            </w:rPr>
                            <w:t>1</w:t>
                          </w:r>
                        </w:fldSimple>
                        <w:bookmarkEnd w:id="9"/>
                        <w:r>
                          <w:t xml:space="preserve"> Vue d'ensemble de l'amas Abell85 (otique et X). L’</w:t>
                        </w:r>
                        <w:proofErr w:type="spellStart"/>
                        <w:r>
                          <w:t>elipse</w:t>
                        </w:r>
                        <w:proofErr w:type="spellEnd"/>
                        <w:r>
                          <w:t xml:space="preserve"> rouge indique le </w:t>
                        </w:r>
                        <w:proofErr w:type="spellStart"/>
                        <w:r>
                          <w:t>beam</w:t>
                        </w:r>
                        <w:proofErr w:type="spellEnd"/>
                        <w:r>
                          <w:t xml:space="preserve"> ON (1fois FWHM).</w:t>
                        </w:r>
                      </w:p>
                    </w:txbxContent>
                  </v:textbox>
                  <w10:wrap type="topAndBottom"/>
                </v:shape>
              </w:pict>
            </w:r>
            <w:r w:rsidR="004E7302" w:rsidRPr="004E7302">
              <w:rPr>
                <w:noProof/>
                <w:lang w:eastAsia="fr-FR"/>
              </w:rPr>
              <w:drawing>
                <wp:anchor distT="0" distB="0" distL="114300" distR="114300" simplePos="0" relativeHeight="251662336" behindDoc="0" locked="0" layoutInCell="1" allowOverlap="1">
                  <wp:simplePos x="0" y="0"/>
                  <wp:positionH relativeFrom="column">
                    <wp:posOffset>233680</wp:posOffset>
                  </wp:positionH>
                  <wp:positionV relativeFrom="paragraph">
                    <wp:posOffset>-401320</wp:posOffset>
                  </wp:positionV>
                  <wp:extent cx="4267200" cy="3743325"/>
                  <wp:effectExtent l="19050" t="0" r="0" b="0"/>
                  <wp:wrapTopAndBottom/>
                  <wp:docPr id="12" name="Imag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srcRect/>
                          <a:stretch>
                            <a:fillRect/>
                          </a:stretch>
                        </pic:blipFill>
                        <pic:spPr bwMode="auto">
                          <a:xfrm>
                            <a:off x="0" y="0"/>
                            <a:ext cx="4267200" cy="3743325"/>
                          </a:xfrm>
                          <a:prstGeom prst="rect">
                            <a:avLst/>
                          </a:prstGeom>
                          <a:noFill/>
                          <a:ln w="9525">
                            <a:noFill/>
                            <a:miter lim="800000"/>
                            <a:headEnd/>
                            <a:tailEnd/>
                          </a:ln>
                        </pic:spPr>
                      </pic:pic>
                    </a:graphicData>
                  </a:graphic>
                </wp:anchor>
              </w:drawing>
            </w:r>
          </w:p>
        </w:tc>
      </w:tr>
    </w:tbl>
    <w:p w:rsidR="006B0677" w:rsidRDefault="00953A81" w:rsidP="00824E73">
      <w:pPr>
        <w:jc w:val="both"/>
      </w:pPr>
      <w:r>
        <w:t>DEC</w:t>
      </w:r>
      <w:r w:rsidR="00DA4C38">
        <w:t xml:space="preserve"> </w:t>
      </w:r>
      <w:r>
        <w:t>=  -</w:t>
      </w:r>
      <w:r w:rsidRPr="00953A81">
        <w:t>9.16306</w:t>
      </w:r>
      <w:r w:rsidR="00DA4C38">
        <w:t xml:space="preserve">/-9h09m47s, et pour mémoire le NRT a un lobe (FWHM) de 4’(RA) x 22’(DEC) à 21cm. Le </w:t>
      </w:r>
      <w:proofErr w:type="spellStart"/>
      <w:r w:rsidR="00DA4C38">
        <w:t>redshift</w:t>
      </w:r>
      <w:proofErr w:type="spellEnd"/>
      <w:r w:rsidR="00DA4C38">
        <w:t xml:space="preserve"> de cet amas est de 0.05</w:t>
      </w:r>
      <w:r w:rsidR="00EA038E">
        <w:t>5, mais les deux galaxies (</w:t>
      </w:r>
      <w:r w:rsidR="00EA038E">
        <w:fldChar w:fldCharType="begin"/>
      </w:r>
      <w:r w:rsidR="00EA038E">
        <w:instrText xml:space="preserve"> REF _Ref309395778 \h </w:instrText>
      </w:r>
      <w:r w:rsidR="00EA038E">
        <w:fldChar w:fldCharType="separate"/>
      </w:r>
      <w:r w:rsidR="00EA038E">
        <w:t xml:space="preserve">Figure </w:t>
      </w:r>
      <w:r w:rsidR="00EA038E">
        <w:rPr>
          <w:noProof/>
        </w:rPr>
        <w:t>2</w:t>
      </w:r>
      <w:r w:rsidR="00EA038E">
        <w:fldChar w:fldCharType="end"/>
      </w:r>
      <w:r w:rsidR="00EA038E">
        <w:t xml:space="preserve">) dans le lobe du NRT qui donnerait un signal HI sont à un z de 0.050 </w:t>
      </w:r>
      <w:r w:rsidR="00DA4C38">
        <w:t>donc on s’atte</w:t>
      </w:r>
      <w:r w:rsidR="00EA038E">
        <w:t>ndrait à une émission HI vers 1353</w:t>
      </w:r>
      <w:r w:rsidR="00DA4C38">
        <w:t>MHz.</w:t>
      </w:r>
    </w:p>
    <w:p w:rsidR="00DA4C38" w:rsidRDefault="00DA4C38" w:rsidP="00824E73">
      <w:pPr>
        <w:jc w:val="both"/>
      </w:pPr>
    </w:p>
    <w:p w:rsidR="004E7302" w:rsidRDefault="005A3F1B" w:rsidP="00824E73">
      <w:pPr>
        <w:jc w:val="both"/>
      </w:pPr>
      <w:r>
        <w:lastRenderedPageBreak/>
        <w:fldChar w:fldCharType="begin"/>
      </w:r>
      <w:r w:rsidR="004E7302">
        <w:instrText xml:space="preserve"> REF _Ref309283552 \h </w:instrText>
      </w:r>
      <w:r>
        <w:fldChar w:fldCharType="separate"/>
      </w:r>
      <w:r w:rsidR="004E7302">
        <w:t xml:space="preserve">Figure </w:t>
      </w:r>
      <w:r w:rsidR="004E7302">
        <w:rPr>
          <w:noProof/>
        </w:rPr>
        <w:t>1</w:t>
      </w:r>
      <w:r>
        <w:fldChar w:fldCharType="end"/>
      </w:r>
      <w:r w:rsidR="004E7302">
        <w:t xml:space="preserve"> donne </w:t>
      </w:r>
      <w:r w:rsidR="00DA4C38">
        <w:t>une vue</w:t>
      </w:r>
      <w:r w:rsidR="004E7302">
        <w:t xml:space="preserve"> d’ensemble </w:t>
      </w:r>
      <w:r w:rsidR="00DA4C38">
        <w:t xml:space="preserve"> optique et X de l’amas, avec en rouge matérialisé le </w:t>
      </w:r>
      <w:proofErr w:type="spellStart"/>
      <w:r w:rsidR="00DA4C38">
        <w:t>beam</w:t>
      </w:r>
      <w:proofErr w:type="spellEnd"/>
      <w:r w:rsidR="00DA4C38">
        <w:t xml:space="preserve"> du NRT. Les cercles bleus étant des galaxies émettrices HI.</w:t>
      </w:r>
      <w:r w:rsidR="004E7302">
        <w:t xml:space="preserve"> Un zoom autour du </w:t>
      </w:r>
      <w:proofErr w:type="spellStart"/>
      <w:r w:rsidR="004E7302">
        <w:t>beam</w:t>
      </w:r>
      <w:proofErr w:type="spellEnd"/>
      <w:r w:rsidR="004E7302">
        <w:t xml:space="preserve"> du NRT est présenté</w:t>
      </w:r>
    </w:p>
    <w:tbl>
      <w:tblPr>
        <w:tblStyle w:val="Grilledutableau"/>
        <w:tblW w:w="0" w:type="auto"/>
        <w:tblLook w:val="04A0"/>
      </w:tblPr>
      <w:tblGrid>
        <w:gridCol w:w="8683"/>
      </w:tblGrid>
      <w:tr w:rsidR="004E7302" w:rsidTr="004E7302">
        <w:tc>
          <w:tcPr>
            <w:tcW w:w="8683" w:type="dxa"/>
            <w:tcBorders>
              <w:top w:val="nil"/>
              <w:left w:val="nil"/>
              <w:bottom w:val="nil"/>
              <w:right w:val="nil"/>
            </w:tcBorders>
          </w:tcPr>
          <w:p w:rsidR="004E7302" w:rsidRDefault="004E7302" w:rsidP="004E7302">
            <w:pPr>
              <w:keepNext/>
              <w:jc w:val="center"/>
            </w:pPr>
            <w:r w:rsidRPr="004E7302">
              <w:rPr>
                <w:noProof/>
                <w:lang w:eastAsia="fr-FR"/>
              </w:rPr>
              <w:drawing>
                <wp:inline distT="0" distB="0" distL="0" distR="0">
                  <wp:extent cx="5180029" cy="5045174"/>
                  <wp:effectExtent l="19050" t="0" r="1571" b="0"/>
                  <wp:docPr id="13" name="Image 12"/>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9" cstate="print"/>
                          <a:srcRect/>
                          <a:stretch>
                            <a:fillRect/>
                          </a:stretch>
                        </pic:blipFill>
                        <pic:spPr bwMode="auto">
                          <a:xfrm>
                            <a:off x="0" y="0"/>
                            <a:ext cx="5180029" cy="5045174"/>
                          </a:xfrm>
                          <a:prstGeom prst="rect">
                            <a:avLst/>
                          </a:prstGeom>
                          <a:noFill/>
                          <a:ln w="1">
                            <a:noFill/>
                            <a:miter lim="800000"/>
                            <a:headEnd/>
                            <a:tailEnd type="none" w="med" len="med"/>
                          </a:ln>
                          <a:effectLst/>
                        </pic:spPr>
                      </pic:pic>
                    </a:graphicData>
                  </a:graphic>
                </wp:inline>
              </w:drawing>
            </w:r>
          </w:p>
          <w:p w:rsidR="004E7302" w:rsidRDefault="004E7302" w:rsidP="004E7302">
            <w:pPr>
              <w:pStyle w:val="Lgende"/>
            </w:pPr>
            <w:bookmarkStart w:id="10" w:name="_Ref309395778"/>
            <w:r>
              <w:t xml:space="preserve">Figure </w:t>
            </w:r>
            <w:fldSimple w:instr=" SEQ Figure \* ARABIC ">
              <w:r w:rsidR="00DD6E13">
                <w:rPr>
                  <w:noProof/>
                </w:rPr>
                <w:t>2</w:t>
              </w:r>
            </w:fldSimple>
            <w:bookmarkEnd w:id="10"/>
            <w:r>
              <w:t xml:space="preserve"> Zoom autour du </w:t>
            </w:r>
            <w:proofErr w:type="spellStart"/>
            <w:r>
              <w:t>beam</w:t>
            </w:r>
            <w:proofErr w:type="spellEnd"/>
            <w:r>
              <w:t xml:space="preserve"> ON. On  distingue 2 galaxies </w:t>
            </w:r>
            <w:proofErr w:type="gramStart"/>
            <w:r w:rsidRPr="004E7302">
              <w:t>A85[</w:t>
            </w:r>
            <w:proofErr w:type="gramEnd"/>
            <w:r w:rsidRPr="004E7302">
              <w:t>DFL98]461</w:t>
            </w:r>
            <w:r>
              <w:t xml:space="preserve"> et </w:t>
            </w:r>
            <w:r w:rsidRPr="004E7302">
              <w:t>A85[SDG98]3114</w:t>
            </w:r>
            <w:r>
              <w:t xml:space="preserve">. L’ellipse verte représente 2 fois le </w:t>
            </w:r>
            <w:proofErr w:type="spellStart"/>
            <w:r>
              <w:t>beam</w:t>
            </w:r>
            <w:proofErr w:type="spellEnd"/>
            <w:r>
              <w:t xml:space="preserve"> FWHM</w:t>
            </w:r>
            <w:r w:rsidR="00D607A3">
              <w:t xml:space="preserve"> contrairement à la </w:t>
            </w:r>
            <w:r w:rsidR="005A3F1B">
              <w:fldChar w:fldCharType="begin"/>
            </w:r>
            <w:r w:rsidR="00D607A3">
              <w:instrText xml:space="preserve"> REF _Ref309283552 \h </w:instrText>
            </w:r>
            <w:r w:rsidR="005A3F1B">
              <w:fldChar w:fldCharType="separate"/>
            </w:r>
            <w:r w:rsidR="00D607A3">
              <w:t xml:space="preserve">Figure </w:t>
            </w:r>
            <w:r w:rsidR="00D607A3">
              <w:rPr>
                <w:noProof/>
              </w:rPr>
              <w:t>1</w:t>
            </w:r>
            <w:r w:rsidR="005A3F1B">
              <w:fldChar w:fldCharType="end"/>
            </w:r>
            <w:r w:rsidR="00D607A3">
              <w:t>.</w:t>
            </w:r>
          </w:p>
        </w:tc>
      </w:tr>
    </w:tbl>
    <w:p w:rsidR="00DA4C38" w:rsidRDefault="00DA4C38" w:rsidP="00824E73">
      <w:pPr>
        <w:jc w:val="both"/>
      </w:pPr>
    </w:p>
    <w:p w:rsidR="00DA4C38" w:rsidRDefault="004E7302" w:rsidP="00824E73">
      <w:pPr>
        <w:jc w:val="both"/>
      </w:pPr>
      <w:r>
        <w:t xml:space="preserve">Etant donné que la prise de données enchaîne des cycles ON </w:t>
      </w:r>
      <w:proofErr w:type="gramStart"/>
      <w:r>
        <w:t>puis</w:t>
      </w:r>
      <w:proofErr w:type="gramEnd"/>
      <w:r>
        <w:t xml:space="preserve"> OFF, le OFF de chaque cycle est décalé de 60sec en RA. Pour le moment, je n’ai pas de carte correspondante du OFF.</w:t>
      </w:r>
    </w:p>
    <w:p w:rsidR="00D607A3" w:rsidRDefault="00D607A3" w:rsidP="00824E73">
      <w:pPr>
        <w:jc w:val="both"/>
      </w:pPr>
    </w:p>
    <w:p w:rsidR="00D607A3" w:rsidRDefault="00D607A3" w:rsidP="00824E73">
      <w:pPr>
        <w:jc w:val="both"/>
      </w:pPr>
      <w:r>
        <w:t>Dans la suite est résumé l’analyse faite sur 500cycles, soit au total 1000min correspondant à un temps utile sur le ON de 5000sec tenant compte que l’on prend 30sec de donnée avec une efficacité de 33%.</w:t>
      </w:r>
    </w:p>
    <w:p w:rsidR="00D607A3" w:rsidRDefault="00D607A3" w:rsidP="00824E73">
      <w:pPr>
        <w:jc w:val="both"/>
      </w:pPr>
    </w:p>
    <w:p w:rsidR="00D607A3" w:rsidRDefault="00D607A3" w:rsidP="00D607A3">
      <w:pPr>
        <w:pStyle w:val="Titre1"/>
      </w:pPr>
      <w:r>
        <w:t>Résumé de la réduction de données</w:t>
      </w:r>
    </w:p>
    <w:p w:rsidR="00D607A3" w:rsidRDefault="00D607A3" w:rsidP="00DE4CD4">
      <w:pPr>
        <w:jc w:val="both"/>
      </w:pPr>
      <w:r>
        <w:t>Je ne décris pas dans la suite la chaîne d’</w:t>
      </w:r>
      <w:proofErr w:type="spellStart"/>
      <w:r>
        <w:t>électronque</w:t>
      </w:r>
      <w:proofErr w:type="spellEnd"/>
      <w:r>
        <w:t xml:space="preserve"> mais seulement les traitements à partir des fichiers « signal » sauvés par la DAQ et transférés sur </w:t>
      </w:r>
      <w:proofErr w:type="spellStart"/>
      <w:r>
        <w:t>Irods</w:t>
      </w:r>
      <w:proofErr w:type="spellEnd"/>
      <w:r>
        <w:t xml:space="preserve">. </w:t>
      </w:r>
    </w:p>
    <w:p w:rsidR="00D607A3" w:rsidRDefault="00A6399E" w:rsidP="00A6399E">
      <w:pPr>
        <w:pStyle w:val="Titre2"/>
      </w:pPr>
      <w:r>
        <w:lastRenderedPageBreak/>
        <w:t>Etape préliminaire</w:t>
      </w:r>
    </w:p>
    <w:p w:rsidR="00D607A3" w:rsidRDefault="00D607A3" w:rsidP="00DE4CD4">
      <w:pPr>
        <w:jc w:val="both"/>
      </w:pPr>
      <w:r>
        <w:t>Chaqu</w:t>
      </w:r>
      <w:r w:rsidR="0010303A">
        <w:t xml:space="preserve">e prise de données (une par jour) </w:t>
      </w:r>
      <w:r>
        <w:t>est découpée selon les différentes phases DAB</w:t>
      </w:r>
      <w:r w:rsidR="0010303A">
        <w:rPr>
          <w:rStyle w:val="Appelnotedebasdep"/>
        </w:rPr>
        <w:footnoteReference w:id="1"/>
      </w:r>
      <w:r>
        <w:t xml:space="preserve"> ON, ON, DAB OFF et OFF. Pour ce faite primo une extraction des headers FITS de tous les fichiers « signal »  est nécessaire pour</w:t>
      </w:r>
      <w:r w:rsidR="0010303A">
        <w:t xml:space="preserve"> secundo sélectionner </w:t>
      </w:r>
      <w:r>
        <w:t xml:space="preserve">les fichiers dont les paquets correspondent aux fenêtres de temps </w:t>
      </w:r>
      <w:r w:rsidR="0010303A">
        <w:t>(</w:t>
      </w:r>
      <w:proofErr w:type="spellStart"/>
      <w:r w:rsidR="0010303A">
        <w:t>start</w:t>
      </w:r>
      <w:proofErr w:type="spellEnd"/>
      <w:r w:rsidR="0010303A">
        <w:t xml:space="preserve">/stop) des différentes phases </w:t>
      </w:r>
      <w:r>
        <w:t>issues d’une analyse automatique des fichiers SCA</w:t>
      </w:r>
      <w:r w:rsidR="0010303A">
        <w:t xml:space="preserve">. Cette étape préparatoire est cruciale car les ressources allouées aux traitements des données  (ici la taille du scratch) au CCIN2P3 sont limitées et l’on ne peut par exemple charger l’ensemble des fichiers </w:t>
      </w:r>
      <w:proofErr w:type="spellStart"/>
      <w:r w:rsidR="0010303A">
        <w:t>signals</w:t>
      </w:r>
      <w:proofErr w:type="spellEnd"/>
      <w:r w:rsidR="0010303A">
        <w:t xml:space="preserve"> brutalement, cela correspondrait à une taille typique de </w:t>
      </w:r>
      <w:r w:rsidR="001D5B4D">
        <w:t>400MB/fichier x</w:t>
      </w:r>
      <w:r w:rsidR="0010303A">
        <w:t xml:space="preserve"> 2polars</w:t>
      </w:r>
      <w:r w:rsidR="001D5B4D">
        <w:t xml:space="preserve"> x</w:t>
      </w:r>
      <w:r w:rsidR="0010303A">
        <w:t xml:space="preserve"> 1000 fichiers.</w:t>
      </w:r>
    </w:p>
    <w:p w:rsidR="0010303A" w:rsidRDefault="00A6399E" w:rsidP="00A6399E">
      <w:pPr>
        <w:pStyle w:val="Titre2"/>
      </w:pPr>
      <w:r>
        <w:t>Première réduction</w:t>
      </w:r>
    </w:p>
    <w:p w:rsidR="001D5B4D" w:rsidRDefault="0010303A" w:rsidP="00DE4CD4">
      <w:pPr>
        <w:jc w:val="both"/>
      </w:pPr>
      <w:r>
        <w:t>Une fois l’étape préliminai</w:t>
      </w:r>
      <w:r w:rsidR="001D5B4D">
        <w:t xml:space="preserve">re effectuée, </w:t>
      </w:r>
      <w:r>
        <w:t xml:space="preserve">on procède à l’étape la plus couteuse en temps CPU à savoir le traitement FFT, et ensuite à une réduction sous forme de spectres </w:t>
      </w:r>
      <w:r w:rsidR="001D5B4D">
        <w:t xml:space="preserve">de </w:t>
      </w:r>
      <w:r w:rsidR="00A6399E">
        <w:t>2-</w:t>
      </w:r>
      <w:r w:rsidR="001D5B4D">
        <w:t>di</w:t>
      </w:r>
      <w:r w:rsidR="00A6399E">
        <w:t>mension (p</w:t>
      </w:r>
      <w:r>
        <w:t>olars x</w:t>
      </w:r>
      <w:r w:rsidR="00A6399E">
        <w:t xml:space="preserve"> </w:t>
      </w:r>
      <w:proofErr w:type="spellStart"/>
      <w:r w:rsidR="001D5B4D">
        <w:t>freq</w:t>
      </w:r>
      <w:proofErr w:type="spellEnd"/>
      <w:r w:rsidR="001D5B4D">
        <w:t>.</w:t>
      </w:r>
      <w:r w:rsidR="00A6399E">
        <w:t>)</w:t>
      </w:r>
      <w:r w:rsidR="001D5B4D">
        <w:t>. On définit les traitements suivants :</w:t>
      </w:r>
    </w:p>
    <w:p w:rsidR="001D5B4D" w:rsidRDefault="001D5B4D" w:rsidP="00DE4CD4">
      <w:pPr>
        <w:pStyle w:val="Paragraphedeliste"/>
        <w:numPr>
          <w:ilvl w:val="0"/>
          <w:numId w:val="23"/>
        </w:numPr>
        <w:jc w:val="both"/>
      </w:pPr>
      <w:r>
        <w:t xml:space="preserve">GAIN : on utilise le cycle du milieu du </w:t>
      </w:r>
      <w:proofErr w:type="spellStart"/>
      <w:r>
        <w:t>run</w:t>
      </w:r>
      <w:proofErr w:type="spellEnd"/>
      <w:r>
        <w:t xml:space="preserve"> courant pour définir autour de la DAB OFF deux zones pour obtenir d’un spectre lissé également en fréquences (c’est essentiellement un intermédiaire de calcul) ;</w:t>
      </w:r>
    </w:p>
    <w:p w:rsidR="001D5B4D" w:rsidRDefault="001D5B4D" w:rsidP="00DE4CD4">
      <w:pPr>
        <w:pStyle w:val="Paragraphedeliste"/>
        <w:numPr>
          <w:ilvl w:val="0"/>
          <w:numId w:val="23"/>
        </w:numPr>
        <w:jc w:val="both"/>
      </w:pPr>
      <w:r>
        <w:t>CALIB (ON ou OFF) : on uti</w:t>
      </w:r>
      <w:r w:rsidR="00DE4CD4">
        <w:t>lise les phases de DAB avec des marges pour bien les englober ;</w:t>
      </w:r>
    </w:p>
    <w:p w:rsidR="00DE4CD4" w:rsidRDefault="00DE4CD4" w:rsidP="00DE4CD4">
      <w:pPr>
        <w:pStyle w:val="Paragraphedeliste"/>
        <w:numPr>
          <w:ilvl w:val="0"/>
          <w:numId w:val="23"/>
        </w:numPr>
        <w:jc w:val="both"/>
      </w:pPr>
      <w:r>
        <w:t>DATA (ON ou OFF) : on utilise les phases ON ou OFF avec une marge de sécurité pour s’affranchir des DAB et des mouvements du NRT.</w:t>
      </w:r>
    </w:p>
    <w:p w:rsidR="00A6399E" w:rsidRDefault="00A6399E" w:rsidP="00DE4CD4">
      <w:pPr>
        <w:pStyle w:val="Paragraphedeliste"/>
        <w:numPr>
          <w:ilvl w:val="0"/>
          <w:numId w:val="23"/>
        </w:numPr>
        <w:jc w:val="both"/>
      </w:pPr>
      <w:r>
        <w:t>MEAN (ON ou OFF) : on utilise les mêmes données que pour le traitement de type DATA mais cette fois on calcule une moyenne et non la médiane sur un certain nombre de paquets sans procéder à aucun filtrage</w:t>
      </w:r>
      <w:r>
        <w:rPr>
          <w:rStyle w:val="Appelnotedebasdep"/>
        </w:rPr>
        <w:footnoteReference w:id="2"/>
      </w:r>
      <w:r>
        <w:t>.</w:t>
      </w:r>
    </w:p>
    <w:p w:rsidR="001D5B4D" w:rsidRDefault="001D5B4D" w:rsidP="00DE4CD4">
      <w:pPr>
        <w:jc w:val="both"/>
      </w:pPr>
    </w:p>
    <w:p w:rsidR="001D5B4D" w:rsidRDefault="00506E84" w:rsidP="00D607A3">
      <w:r>
        <w:t xml:space="preserve">La réduction procède toujours à un filtrage médian sur un certain nombre de paquets et un filtrage en fréquence est appliqué sauf pour les périodes ON et OFF.  </w:t>
      </w:r>
      <w:proofErr w:type="spellStart"/>
      <w:r w:rsidR="00DE4CD4">
        <w:t>Le</w:t>
      </w:r>
      <w:r w:rsidR="005A3F1B">
        <w:fldChar w:fldCharType="begin"/>
      </w:r>
      <w:r w:rsidR="00DE4CD4">
        <w:instrText xml:space="preserve"> REF _Ref309286039 \h </w:instrText>
      </w:r>
      <w:r w:rsidR="005A3F1B">
        <w:fldChar w:fldCharType="separate"/>
      </w:r>
      <w:r w:rsidR="00DE4CD4">
        <w:t>Tableau</w:t>
      </w:r>
      <w:proofErr w:type="spellEnd"/>
      <w:r w:rsidR="00DE4CD4">
        <w:t xml:space="preserve"> </w:t>
      </w:r>
      <w:r w:rsidR="00DE4CD4">
        <w:rPr>
          <w:noProof/>
        </w:rPr>
        <w:t>1</w:t>
      </w:r>
      <w:r w:rsidR="005A3F1B">
        <w:fldChar w:fldCharType="end"/>
      </w:r>
      <w:r>
        <w:t xml:space="preserve"> </w:t>
      </w:r>
      <w:r w:rsidR="001D5B4D">
        <w:t>détaille les paramètres de ce</w:t>
      </w:r>
      <w:r w:rsidR="00DE4CD4">
        <w:t>tte première réduction d</w:t>
      </w:r>
      <w:r>
        <w:t>e données.</w:t>
      </w:r>
    </w:p>
    <w:p w:rsidR="00DE4CD4" w:rsidRDefault="00DE4CD4" w:rsidP="00AB6524">
      <w:pPr>
        <w:pStyle w:val="Lgende"/>
        <w:keepNext/>
        <w:jc w:val="both"/>
      </w:pPr>
      <w:bookmarkStart w:id="11" w:name="_Ref309286039"/>
      <w:r>
        <w:t xml:space="preserve">Tableau </w:t>
      </w:r>
      <w:fldSimple w:instr=" SEQ Tableau \* ARABIC ">
        <w:r>
          <w:rPr>
            <w:noProof/>
          </w:rPr>
          <w:t>1</w:t>
        </w:r>
      </w:fldSimple>
      <w:bookmarkEnd w:id="11"/>
      <w:r>
        <w:t xml:space="preserve"> Paramètres pour lancer les traitements (FFT et première réduction).</w:t>
      </w:r>
      <w:r w:rsidR="00AB6524">
        <w:t xml:space="preserve"> Phase : période dont sont issues majoritairement les paquets. « #</w:t>
      </w:r>
      <w:proofErr w:type="gramStart"/>
      <w:r w:rsidR="00AB6524">
        <w:t>de</w:t>
      </w:r>
      <w:proofErr w:type="gramEnd"/>
      <w:r w:rsidR="00AB6524">
        <w:t xml:space="preserve"> paquets/fenêtre» est le nombre de paquets sur lequel est calculé soit la médiane soit la moyenne. « Durée fenêtre » est la durée en seconde moyennant 8kHz de trigger (3sec/25600paq.). « Shift/durée » sont le shift en seconde pour sélectionner les paquets selon le temps par rapport au début présumé de la phase correspondante écrite dans le fichier SCA. « Filtrage </w:t>
      </w:r>
      <w:proofErr w:type="spellStart"/>
      <w:r w:rsidR="00AB6524">
        <w:t>Freq</w:t>
      </w:r>
      <w:proofErr w:type="spellEnd"/>
      <w:r w:rsidR="00AB6524">
        <w:t xml:space="preserve">. »  </w:t>
      </w:r>
      <w:proofErr w:type="gramStart"/>
      <w:r w:rsidR="00AB6524">
        <w:t>est</w:t>
      </w:r>
      <w:proofErr w:type="gramEnd"/>
      <w:r w:rsidR="00AB6524">
        <w:t xml:space="preserve"> la largeur totale de la fenêtre glissante sur laquelle est appliquée le filtrage si mentionnée.</w:t>
      </w:r>
    </w:p>
    <w:tbl>
      <w:tblPr>
        <w:tblStyle w:val="Grilledutableau"/>
        <w:tblW w:w="8759" w:type="dxa"/>
        <w:tblLook w:val="04A0"/>
      </w:tblPr>
      <w:tblGrid>
        <w:gridCol w:w="1546"/>
        <w:gridCol w:w="1369"/>
        <w:gridCol w:w="1831"/>
        <w:gridCol w:w="1193"/>
        <w:gridCol w:w="1628"/>
        <w:gridCol w:w="1192"/>
      </w:tblGrid>
      <w:tr w:rsidR="00570AD8" w:rsidTr="00506E84">
        <w:tc>
          <w:tcPr>
            <w:tcW w:w="1546" w:type="dxa"/>
          </w:tcPr>
          <w:p w:rsidR="00570AD8" w:rsidRDefault="00570AD8" w:rsidP="00D607A3">
            <w:r>
              <w:t>Traitement</w:t>
            </w:r>
          </w:p>
        </w:tc>
        <w:tc>
          <w:tcPr>
            <w:tcW w:w="1369" w:type="dxa"/>
          </w:tcPr>
          <w:p w:rsidR="00570AD8" w:rsidRDefault="00570AD8" w:rsidP="00F3742B">
            <w:r>
              <w:t>Phase</w:t>
            </w:r>
          </w:p>
        </w:tc>
        <w:tc>
          <w:tcPr>
            <w:tcW w:w="1831" w:type="dxa"/>
          </w:tcPr>
          <w:p w:rsidR="00570AD8" w:rsidRDefault="00570AD8" w:rsidP="00D607A3">
            <w:r>
              <w:t># de paquets/fenêtre</w:t>
            </w:r>
          </w:p>
        </w:tc>
        <w:tc>
          <w:tcPr>
            <w:tcW w:w="1193" w:type="dxa"/>
          </w:tcPr>
          <w:p w:rsidR="00570AD8" w:rsidRDefault="00570AD8" w:rsidP="00D607A3">
            <w:r>
              <w:t>Durée fenêtre</w:t>
            </w:r>
          </w:p>
        </w:tc>
        <w:tc>
          <w:tcPr>
            <w:tcW w:w="1628" w:type="dxa"/>
          </w:tcPr>
          <w:p w:rsidR="00570AD8" w:rsidRDefault="00570AD8" w:rsidP="00D607A3">
            <w:r>
              <w:t>Shift/durée</w:t>
            </w:r>
          </w:p>
        </w:tc>
        <w:tc>
          <w:tcPr>
            <w:tcW w:w="1192" w:type="dxa"/>
          </w:tcPr>
          <w:p w:rsidR="00570AD8" w:rsidRDefault="00570AD8" w:rsidP="00D607A3">
            <w:r>
              <w:t xml:space="preserve">Filtrage </w:t>
            </w:r>
            <w:proofErr w:type="spellStart"/>
            <w:r>
              <w:t>Freq</w:t>
            </w:r>
            <w:proofErr w:type="spellEnd"/>
            <w:r>
              <w:t>.</w:t>
            </w:r>
          </w:p>
        </w:tc>
      </w:tr>
      <w:tr w:rsidR="00570AD8" w:rsidTr="00506E84">
        <w:tc>
          <w:tcPr>
            <w:tcW w:w="1546" w:type="dxa"/>
          </w:tcPr>
          <w:p w:rsidR="00570AD8" w:rsidRDefault="00570AD8" w:rsidP="00D607A3">
            <w:r>
              <w:t>GAIN</w:t>
            </w:r>
          </w:p>
        </w:tc>
        <w:tc>
          <w:tcPr>
            <w:tcW w:w="1369" w:type="dxa"/>
          </w:tcPr>
          <w:p w:rsidR="00570AD8" w:rsidRDefault="00570AD8" w:rsidP="00F3742B">
            <w:r>
              <w:t>DAB-OFF</w:t>
            </w:r>
          </w:p>
        </w:tc>
        <w:tc>
          <w:tcPr>
            <w:tcW w:w="1831" w:type="dxa"/>
          </w:tcPr>
          <w:p w:rsidR="00570AD8" w:rsidRDefault="00570AD8" w:rsidP="00D607A3">
            <w:r>
              <w:t>5120</w:t>
            </w:r>
          </w:p>
        </w:tc>
        <w:tc>
          <w:tcPr>
            <w:tcW w:w="1193" w:type="dxa"/>
          </w:tcPr>
          <w:p w:rsidR="00570AD8" w:rsidRPr="00570AD8" w:rsidRDefault="00570AD8" w:rsidP="00D607A3">
            <w:r>
              <w:rPr>
                <w:rFonts w:ascii="Symbol" w:hAnsi="Symbol"/>
              </w:rPr>
              <w:t></w:t>
            </w:r>
            <w:r>
              <w:rPr>
                <w:rFonts w:ascii="Symbol" w:hAnsi="Symbol"/>
              </w:rPr>
              <w:t></w:t>
            </w:r>
            <w:r>
              <w:rPr>
                <w:rFonts w:ascii="Symbol" w:hAnsi="Symbol"/>
              </w:rPr>
              <w:t></w:t>
            </w:r>
            <w:r>
              <w:rPr>
                <w:rFonts w:ascii="Symbol" w:hAnsi="Symbol"/>
              </w:rPr>
              <w:t></w:t>
            </w:r>
            <w:r>
              <w:t>sec</w:t>
            </w:r>
          </w:p>
        </w:tc>
        <w:tc>
          <w:tcPr>
            <w:tcW w:w="1628" w:type="dxa"/>
          </w:tcPr>
          <w:p w:rsidR="00570AD8" w:rsidRDefault="00570AD8" w:rsidP="00D607A3">
            <w:r w:rsidRPr="00DE4CD4">
              <w:rPr>
                <w:rFonts w:ascii="Symbol" w:hAnsi="Symbol"/>
              </w:rPr>
              <w:t></w:t>
            </w:r>
            <w:r>
              <w:t>4sec/14sec</w:t>
            </w:r>
          </w:p>
        </w:tc>
        <w:tc>
          <w:tcPr>
            <w:tcW w:w="1192" w:type="dxa"/>
          </w:tcPr>
          <w:p w:rsidR="00570AD8" w:rsidRPr="00570AD8" w:rsidRDefault="00570AD8" w:rsidP="00D607A3">
            <w:r>
              <w:t>3MHz</w:t>
            </w:r>
          </w:p>
        </w:tc>
      </w:tr>
      <w:tr w:rsidR="00570AD8" w:rsidTr="00506E84">
        <w:tc>
          <w:tcPr>
            <w:tcW w:w="1546" w:type="dxa"/>
          </w:tcPr>
          <w:p w:rsidR="00570AD8" w:rsidRDefault="00570AD8" w:rsidP="00D607A3">
            <w:r>
              <w:t>CALIB ON/OFF</w:t>
            </w:r>
          </w:p>
        </w:tc>
        <w:tc>
          <w:tcPr>
            <w:tcW w:w="1369" w:type="dxa"/>
          </w:tcPr>
          <w:p w:rsidR="00570AD8" w:rsidRDefault="00570AD8" w:rsidP="00F3742B">
            <w:r>
              <w:t>DAB-ON/OFF</w:t>
            </w:r>
          </w:p>
        </w:tc>
        <w:tc>
          <w:tcPr>
            <w:tcW w:w="1831" w:type="dxa"/>
          </w:tcPr>
          <w:p w:rsidR="00570AD8" w:rsidRDefault="00570AD8" w:rsidP="00D607A3">
            <w:r>
              <w:t>1024</w:t>
            </w:r>
          </w:p>
        </w:tc>
        <w:tc>
          <w:tcPr>
            <w:tcW w:w="1193" w:type="dxa"/>
          </w:tcPr>
          <w:p w:rsidR="00570AD8" w:rsidRDefault="00506E84" w:rsidP="00D607A3">
            <w:r>
              <w:t>~</w:t>
            </w:r>
            <w:r w:rsidR="00570AD8">
              <w:t>120ms</w:t>
            </w:r>
          </w:p>
        </w:tc>
        <w:tc>
          <w:tcPr>
            <w:tcW w:w="1628" w:type="dxa"/>
          </w:tcPr>
          <w:p w:rsidR="00570AD8" w:rsidRDefault="00570AD8" w:rsidP="00D607A3">
            <w:r w:rsidRPr="00DE4CD4">
              <w:rPr>
                <w:rFonts w:ascii="Symbol" w:hAnsi="Symbol"/>
              </w:rPr>
              <w:t></w:t>
            </w:r>
            <w:r>
              <w:t>4sec/14sec</w:t>
            </w:r>
          </w:p>
        </w:tc>
        <w:tc>
          <w:tcPr>
            <w:tcW w:w="1192" w:type="dxa"/>
          </w:tcPr>
          <w:p w:rsidR="00570AD8" w:rsidRDefault="00570AD8" w:rsidP="00D607A3">
            <w:r>
              <w:t>3MHz</w:t>
            </w:r>
          </w:p>
        </w:tc>
      </w:tr>
      <w:tr w:rsidR="00570AD8" w:rsidTr="00506E84">
        <w:tc>
          <w:tcPr>
            <w:tcW w:w="1546" w:type="dxa"/>
          </w:tcPr>
          <w:p w:rsidR="00570AD8" w:rsidRDefault="00506E84" w:rsidP="00D607A3">
            <w:r>
              <w:t>DATA ON/OFF</w:t>
            </w:r>
          </w:p>
        </w:tc>
        <w:tc>
          <w:tcPr>
            <w:tcW w:w="1369" w:type="dxa"/>
          </w:tcPr>
          <w:p w:rsidR="00570AD8" w:rsidRDefault="00506E84" w:rsidP="00F3742B">
            <w:r>
              <w:t>ON/OFF</w:t>
            </w:r>
          </w:p>
        </w:tc>
        <w:tc>
          <w:tcPr>
            <w:tcW w:w="1831" w:type="dxa"/>
          </w:tcPr>
          <w:p w:rsidR="00570AD8" w:rsidRDefault="00506E84" w:rsidP="00D607A3">
            <w:r>
              <w:t>5120 pour obtenir une médiane et on moyenne 5 médianes</w:t>
            </w:r>
            <w:fldSimple w:instr=" NOTEREF _Ref309291413 \h  \* MERGEFORMAT ">
              <w:r w:rsidR="00AB6524" w:rsidRPr="00AB6524">
                <w:rPr>
                  <w:vertAlign w:val="superscript"/>
                </w:rPr>
                <w:t>3</w:t>
              </w:r>
            </w:fldSimple>
          </w:p>
        </w:tc>
        <w:tc>
          <w:tcPr>
            <w:tcW w:w="1193" w:type="dxa"/>
          </w:tcPr>
          <w:p w:rsidR="00570AD8" w:rsidRDefault="00506E84" w:rsidP="00D607A3">
            <w:r>
              <w:t>~5x0.6sec = 3sec</w:t>
            </w:r>
          </w:p>
        </w:tc>
        <w:tc>
          <w:tcPr>
            <w:tcW w:w="1628" w:type="dxa"/>
          </w:tcPr>
          <w:p w:rsidR="00570AD8" w:rsidRDefault="00506E84" w:rsidP="00D607A3">
            <w:r>
              <w:t>+3sec/30sec</w:t>
            </w:r>
          </w:p>
        </w:tc>
        <w:tc>
          <w:tcPr>
            <w:tcW w:w="1192" w:type="dxa"/>
          </w:tcPr>
          <w:p w:rsidR="00570AD8" w:rsidRDefault="00506E84" w:rsidP="00D607A3">
            <w:r>
              <w:t>NON</w:t>
            </w:r>
          </w:p>
        </w:tc>
      </w:tr>
      <w:tr w:rsidR="007A161C" w:rsidTr="00506E84">
        <w:tc>
          <w:tcPr>
            <w:tcW w:w="1546" w:type="dxa"/>
          </w:tcPr>
          <w:p w:rsidR="007A161C" w:rsidRDefault="007A161C" w:rsidP="00D607A3">
            <w:r>
              <w:t xml:space="preserve">MEAN </w:t>
            </w:r>
            <w:r>
              <w:lastRenderedPageBreak/>
              <w:t>ON/OFF</w:t>
            </w:r>
          </w:p>
        </w:tc>
        <w:tc>
          <w:tcPr>
            <w:tcW w:w="1369" w:type="dxa"/>
          </w:tcPr>
          <w:p w:rsidR="007A161C" w:rsidRDefault="007A161C" w:rsidP="00F3742B">
            <w:r>
              <w:lastRenderedPageBreak/>
              <w:t>ON/OFF</w:t>
            </w:r>
          </w:p>
        </w:tc>
        <w:tc>
          <w:tcPr>
            <w:tcW w:w="1831" w:type="dxa"/>
          </w:tcPr>
          <w:p w:rsidR="007A161C" w:rsidRDefault="007A161C" w:rsidP="00D607A3">
            <w:r>
              <w:t>25000</w:t>
            </w:r>
            <w:r w:rsidR="00AD4068">
              <w:t xml:space="preserve"> pour </w:t>
            </w:r>
            <w:r w:rsidR="00AD4068">
              <w:lastRenderedPageBreak/>
              <w:t>obtenir moyenne est déviation standard</w:t>
            </w:r>
          </w:p>
        </w:tc>
        <w:tc>
          <w:tcPr>
            <w:tcW w:w="1193" w:type="dxa"/>
          </w:tcPr>
          <w:p w:rsidR="007A161C" w:rsidRDefault="007A161C" w:rsidP="00D607A3">
            <w:r>
              <w:lastRenderedPageBreak/>
              <w:t>~3sec</w:t>
            </w:r>
          </w:p>
        </w:tc>
        <w:tc>
          <w:tcPr>
            <w:tcW w:w="1628" w:type="dxa"/>
          </w:tcPr>
          <w:p w:rsidR="007A161C" w:rsidRDefault="007A161C" w:rsidP="00F3742B">
            <w:r>
              <w:t>+3sec/30sec</w:t>
            </w:r>
          </w:p>
        </w:tc>
        <w:tc>
          <w:tcPr>
            <w:tcW w:w="1192" w:type="dxa"/>
          </w:tcPr>
          <w:p w:rsidR="007A161C" w:rsidRDefault="007A161C" w:rsidP="00F3742B">
            <w:r>
              <w:t>NON</w:t>
            </w:r>
          </w:p>
        </w:tc>
      </w:tr>
    </w:tbl>
    <w:p w:rsidR="0010303A" w:rsidRDefault="0010303A" w:rsidP="00D607A3"/>
    <w:p w:rsidR="00A6399E" w:rsidRDefault="00A6399E" w:rsidP="00A6399E">
      <w:pPr>
        <w:pStyle w:val="Titre2"/>
      </w:pPr>
      <w:r>
        <w:t>Seconde réduction</w:t>
      </w:r>
    </w:p>
    <w:p w:rsidR="002B3C1D" w:rsidRDefault="00A6399E" w:rsidP="00C8348E">
      <w:pPr>
        <w:jc w:val="both"/>
      </w:pPr>
      <w:r>
        <w:t xml:space="preserve">Une fois la première réduction effectuée, on dispose d’une collection </w:t>
      </w:r>
      <w:r w:rsidR="00C8348E">
        <w:t xml:space="preserve">segmentée par cycle et période ON/OFF </w:t>
      </w:r>
      <w:r>
        <w:t>de spectres 2D</w:t>
      </w:r>
      <w:r w:rsidR="00C8348E">
        <w:t xml:space="preserve"> : </w:t>
      </w:r>
      <w:r>
        <w:t xml:space="preserve">2 canaux/polars et 8192 fréquences avec 30kHz de résolution. </w:t>
      </w:r>
      <w:r w:rsidR="00C8348E">
        <w:t>A part le traitement MEAN qui produit des valeurs moyennes, tous les autres traitements fournissent des médianes et, pour le traitement DATA on réduit encore en effectuant une moyenne sur 5 médianes</w:t>
      </w:r>
      <w:bookmarkStart w:id="12" w:name="_Ref309291413"/>
      <w:r w:rsidR="00C8348E">
        <w:rPr>
          <w:rStyle w:val="Appelnotedebasdep"/>
        </w:rPr>
        <w:footnoteReference w:id="3"/>
      </w:r>
      <w:bookmarkEnd w:id="12"/>
      <w:r w:rsidR="00C8348E">
        <w:t xml:space="preserve">. </w:t>
      </w:r>
    </w:p>
    <w:p w:rsidR="002B3C1D" w:rsidRDefault="002B3C1D" w:rsidP="00C8348E">
      <w:pPr>
        <w:jc w:val="both"/>
      </w:pPr>
    </w:p>
    <w:p w:rsidR="002B3C1D" w:rsidRDefault="002B3C1D" w:rsidP="00C8348E">
      <w:pPr>
        <w:jc w:val="both"/>
      </w:pPr>
      <w:r>
        <w:t>La réduction suivante est différente selon le type de traitement : GAIN, CALIB, DATA.</w:t>
      </w:r>
    </w:p>
    <w:p w:rsidR="002B3C1D" w:rsidRDefault="002B3C1D" w:rsidP="00C8348E">
      <w:pPr>
        <w:jc w:val="both"/>
      </w:pPr>
    </w:p>
    <w:p w:rsidR="00724877" w:rsidRDefault="00724877" w:rsidP="00C8348E">
      <w:pPr>
        <w:jc w:val="both"/>
      </w:pPr>
      <w:r>
        <w:t xml:space="preserve">Pour tous les traitements post-GAIN, on procède à la normalisation par le spectre obtenu lors du traitement GAIN. Cette normalisation est un intermédiaire de calcul efficace pour automatiser la calibration, mais </w:t>
      </w:r>
      <w:r w:rsidRPr="00AB6524">
        <w:rPr>
          <w:i/>
        </w:rPr>
        <w:t>in fine</w:t>
      </w:r>
      <w:r>
        <w:t xml:space="preserve"> pour les données ON et OFF on procède à une normalisation par le OFF du cycle courant lissé par un filtrage médian de 2MHz de largeur totale. Notons qu’il n’y a pas été constaté de différence entre une normalisation par le spectre GAIN, ou bien par le OFF courant lissé, même si le </w:t>
      </w:r>
      <w:proofErr w:type="spellStart"/>
      <w:r>
        <w:t>Tsys</w:t>
      </w:r>
      <w:proofErr w:type="spellEnd"/>
      <w:r>
        <w:t xml:space="preserve"> peut augmenter sur quelques cycles en début ou fin de </w:t>
      </w:r>
      <w:proofErr w:type="spellStart"/>
      <w:r>
        <w:t>run</w:t>
      </w:r>
      <w:proofErr w:type="spellEnd"/>
      <w:r>
        <w:t>.</w:t>
      </w:r>
    </w:p>
    <w:p w:rsidR="00D2304D" w:rsidRDefault="00D2304D" w:rsidP="001238C6">
      <w:pPr>
        <w:pStyle w:val="Titre3"/>
        <w:tabs>
          <w:tab w:val="clear" w:pos="3130"/>
        </w:tabs>
        <w:ind w:left="709"/>
      </w:pPr>
      <w:r>
        <w:t>Gain : intermédiaire de calcul</w:t>
      </w:r>
    </w:p>
    <w:p w:rsidR="006F04FE" w:rsidRDefault="002B3C1D" w:rsidP="00C8348E">
      <w:pPr>
        <w:jc w:val="both"/>
      </w:pPr>
      <w:r>
        <w:t>Pour le GAIN, on procède à la moyenne des spectres dont la puissance totale ne dépasse pas 1% de la puissance minimale constatée sur les 14sec traitées.</w:t>
      </w:r>
    </w:p>
    <w:tbl>
      <w:tblPr>
        <w:tblStyle w:val="Grilledutableau"/>
        <w:tblW w:w="0" w:type="auto"/>
        <w:tblLook w:val="04A0"/>
      </w:tblPr>
      <w:tblGrid>
        <w:gridCol w:w="8683"/>
      </w:tblGrid>
      <w:tr w:rsidR="006F04FE" w:rsidTr="00F3742B">
        <w:tc>
          <w:tcPr>
            <w:tcW w:w="8683" w:type="dxa"/>
            <w:vAlign w:val="center"/>
          </w:tcPr>
          <w:p w:rsidR="006F04FE" w:rsidRDefault="006F04FE" w:rsidP="00F3742B">
            <w:pPr>
              <w:keepNext/>
              <w:jc w:val="center"/>
            </w:pPr>
            <w:r w:rsidRPr="002B3C1D">
              <w:rPr>
                <w:noProof/>
                <w:lang w:eastAsia="fr-FR"/>
              </w:rPr>
              <w:lastRenderedPageBreak/>
              <w:drawing>
                <wp:inline distT="0" distB="0" distL="0" distR="0">
                  <wp:extent cx="3552825" cy="3120390"/>
                  <wp:effectExtent l="19050" t="0" r="9525" b="0"/>
                  <wp:docPr id="3" name="Image 15"/>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0" cstate="print"/>
                          <a:srcRect/>
                          <a:stretch>
                            <a:fillRect/>
                          </a:stretch>
                        </pic:blipFill>
                        <pic:spPr bwMode="auto">
                          <a:xfrm>
                            <a:off x="0" y="0"/>
                            <a:ext cx="3553202" cy="3120721"/>
                          </a:xfrm>
                          <a:prstGeom prst="rect">
                            <a:avLst/>
                          </a:prstGeom>
                          <a:noFill/>
                          <a:ln w="9525">
                            <a:noFill/>
                            <a:miter lim="800000"/>
                            <a:headEnd/>
                            <a:tailEnd/>
                          </a:ln>
                        </pic:spPr>
                      </pic:pic>
                    </a:graphicData>
                  </a:graphic>
                </wp:inline>
              </w:drawing>
            </w:r>
          </w:p>
          <w:p w:rsidR="006F04FE" w:rsidRDefault="006F04FE" w:rsidP="00F3742B">
            <w:pPr>
              <w:pStyle w:val="Lgende"/>
              <w:jc w:val="center"/>
            </w:pPr>
            <w:bookmarkStart w:id="13" w:name="_Ref309292613"/>
            <w:r>
              <w:t xml:space="preserve">Figure </w:t>
            </w:r>
            <w:r w:rsidR="005A3F1B">
              <w:fldChar w:fldCharType="begin"/>
            </w:r>
            <w:r>
              <w:instrText xml:space="preserve"> SEQ Figure \* ARABIC </w:instrText>
            </w:r>
            <w:r w:rsidR="005A3F1B">
              <w:fldChar w:fldCharType="separate"/>
            </w:r>
            <w:r w:rsidR="00DD6E13">
              <w:rPr>
                <w:noProof/>
              </w:rPr>
              <w:t>3</w:t>
            </w:r>
            <w:r w:rsidR="005A3F1B">
              <w:fldChar w:fldCharType="end"/>
            </w:r>
            <w:bookmarkEnd w:id="13"/>
            <w:r>
              <w:t xml:space="preserve"> Exemple de spectre de GAIN</w:t>
            </w:r>
          </w:p>
        </w:tc>
      </w:tr>
    </w:tbl>
    <w:p w:rsidR="002B3C1D" w:rsidRDefault="006F04FE" w:rsidP="006F04FE">
      <w:pPr>
        <w:jc w:val="both"/>
      </w:pPr>
      <w:r>
        <w:t>La</w:t>
      </w:r>
      <w:r w:rsidR="002B3C1D">
        <w:t xml:space="preserve"> </w:t>
      </w:r>
      <w:r w:rsidR="005A3F1B">
        <w:fldChar w:fldCharType="begin"/>
      </w:r>
      <w:r w:rsidR="002B3C1D">
        <w:instrText xml:space="preserve"> REF _Ref309292613 \h </w:instrText>
      </w:r>
      <w:r w:rsidR="005A3F1B">
        <w:fldChar w:fldCharType="separate"/>
      </w:r>
      <w:r w:rsidR="002B3C1D">
        <w:t xml:space="preserve">Figure </w:t>
      </w:r>
      <w:r w:rsidR="002B3C1D">
        <w:rPr>
          <w:noProof/>
        </w:rPr>
        <w:t>3</w:t>
      </w:r>
      <w:r w:rsidR="005A3F1B">
        <w:fldChar w:fldCharType="end"/>
      </w:r>
      <w:r w:rsidR="000976B5">
        <w:t xml:space="preserve"> </w:t>
      </w:r>
      <w:r w:rsidR="002B3C1D">
        <w:t>donne un exemple de ces spectres de gain. Il est a noté que ces spectres ont changé début juillet 2011 comme l’</w:t>
      </w:r>
      <w:r w:rsidR="005940DF">
        <w:t xml:space="preserve">a constaté A. </w:t>
      </w:r>
      <w:proofErr w:type="spellStart"/>
      <w:r w:rsidR="005940DF">
        <w:t>Torrento</w:t>
      </w:r>
      <w:proofErr w:type="spellEnd"/>
      <w:r w:rsidR="005940DF">
        <w:t xml:space="preserve"> non seulement pour Abell85 mais les autres amas pointés également à la même période (</w:t>
      </w:r>
      <w:r w:rsidR="005A3F1B">
        <w:fldChar w:fldCharType="begin"/>
      </w:r>
      <w:r w:rsidR="005940DF">
        <w:instrText xml:space="preserve"> REF _Ref309292858 \h </w:instrText>
      </w:r>
      <w:r w:rsidR="005A3F1B">
        <w:fldChar w:fldCharType="separate"/>
      </w:r>
      <w:r w:rsidR="005940DF">
        <w:t xml:space="preserve">Figure </w:t>
      </w:r>
      <w:r w:rsidR="005940DF">
        <w:rPr>
          <w:noProof/>
        </w:rPr>
        <w:t>4</w:t>
      </w:r>
      <w:r w:rsidR="005A3F1B">
        <w:fldChar w:fldCharType="end"/>
      </w:r>
      <w:r w:rsidR="005940DF">
        <w:t>)</w:t>
      </w:r>
      <w:r w:rsidR="002B3C1D">
        <w:t>.</w:t>
      </w:r>
    </w:p>
    <w:tbl>
      <w:tblPr>
        <w:tblStyle w:val="Grilledutableau"/>
        <w:tblW w:w="0" w:type="auto"/>
        <w:tblLook w:val="04A0"/>
      </w:tblPr>
      <w:tblGrid>
        <w:gridCol w:w="8683"/>
      </w:tblGrid>
      <w:tr w:rsidR="001238C6" w:rsidTr="001238C6">
        <w:tc>
          <w:tcPr>
            <w:tcW w:w="8683" w:type="dxa"/>
          </w:tcPr>
          <w:p w:rsidR="006F04FE" w:rsidRDefault="006F04FE" w:rsidP="00F3742B">
            <w:pPr>
              <w:keepNext/>
              <w:jc w:val="center"/>
            </w:pPr>
          </w:p>
          <w:p w:rsidR="001238C6" w:rsidRDefault="001238C6" w:rsidP="00F3742B">
            <w:pPr>
              <w:keepNext/>
              <w:jc w:val="center"/>
            </w:pPr>
            <w:r w:rsidRPr="005940DF">
              <w:rPr>
                <w:noProof/>
                <w:lang w:eastAsia="fr-FR"/>
              </w:rPr>
              <w:drawing>
                <wp:inline distT="0" distB="0" distL="0" distR="0">
                  <wp:extent cx="3204210" cy="2828925"/>
                  <wp:effectExtent l="19050" t="0" r="0" b="0"/>
                  <wp:docPr id="25" name="Image 16" descr="Screen shot 2011-11-07 at 11"/>
                  <wp:cNvGraphicFramePr/>
                  <a:graphic xmlns:a="http://schemas.openxmlformats.org/drawingml/2006/main">
                    <a:graphicData uri="http://schemas.openxmlformats.org/drawingml/2006/picture">
                      <pic:pic xmlns:pic="http://schemas.openxmlformats.org/drawingml/2006/picture">
                        <pic:nvPicPr>
                          <pic:cNvPr id="3080" name="Picture 8" descr="Screen shot 2011-11-07 at 11"/>
                          <pic:cNvPicPr>
                            <a:picLocks noGrp="1" noChangeAspect="1" noChangeArrowheads="1"/>
                          </pic:cNvPicPr>
                        </pic:nvPicPr>
                        <pic:blipFill>
                          <a:blip r:embed="rId11" cstate="print"/>
                          <a:srcRect/>
                          <a:stretch>
                            <a:fillRect/>
                          </a:stretch>
                        </pic:blipFill>
                        <pic:spPr bwMode="auto">
                          <a:xfrm>
                            <a:off x="0" y="0"/>
                            <a:ext cx="3203959" cy="2828704"/>
                          </a:xfrm>
                          <a:prstGeom prst="rect">
                            <a:avLst/>
                          </a:prstGeom>
                          <a:noFill/>
                          <a:ln w="9525">
                            <a:noFill/>
                            <a:miter lim="800000"/>
                            <a:headEnd/>
                            <a:tailEnd/>
                          </a:ln>
                        </pic:spPr>
                      </pic:pic>
                    </a:graphicData>
                  </a:graphic>
                </wp:inline>
              </w:drawing>
            </w:r>
          </w:p>
          <w:p w:rsidR="001238C6" w:rsidRPr="002B3C1D" w:rsidRDefault="001238C6" w:rsidP="006F04FE">
            <w:pPr>
              <w:pStyle w:val="Lgende"/>
              <w:jc w:val="center"/>
            </w:pPr>
            <w:r>
              <w:t xml:space="preserve">Figure </w:t>
            </w:r>
            <w:r w:rsidR="005A3F1B">
              <w:fldChar w:fldCharType="begin"/>
            </w:r>
            <w:r>
              <w:instrText xml:space="preserve"> SEQ Figure \* ARABIC </w:instrText>
            </w:r>
            <w:r w:rsidR="005A3F1B">
              <w:fldChar w:fldCharType="separate"/>
            </w:r>
            <w:r w:rsidR="00DD6E13">
              <w:rPr>
                <w:noProof/>
              </w:rPr>
              <w:t>4</w:t>
            </w:r>
            <w:r w:rsidR="005A3F1B">
              <w:fldChar w:fldCharType="end"/>
            </w:r>
            <w:r>
              <w:t xml:space="preserve"> Spectre de gain à partir du 8 Juil. 2011.</w:t>
            </w:r>
          </w:p>
        </w:tc>
      </w:tr>
    </w:tbl>
    <w:p w:rsidR="001238C6" w:rsidRDefault="001238C6" w:rsidP="001238C6">
      <w:pPr>
        <w:pStyle w:val="Titre3"/>
        <w:numPr>
          <w:ilvl w:val="0"/>
          <w:numId w:val="0"/>
        </w:numPr>
      </w:pPr>
    </w:p>
    <w:p w:rsidR="00D2304D" w:rsidRDefault="006F04FE" w:rsidP="00D2304D">
      <w:pPr>
        <w:pStyle w:val="Titre3"/>
        <w:tabs>
          <w:tab w:val="clear" w:pos="3130"/>
          <w:tab w:val="num" w:pos="720"/>
        </w:tabs>
        <w:ind w:left="720"/>
      </w:pPr>
      <w:r>
        <w:t>Coefficients de c</w:t>
      </w:r>
      <w:r w:rsidR="00D2304D">
        <w:t>alibration par la DAB</w:t>
      </w:r>
    </w:p>
    <w:p w:rsidR="002B3C1D" w:rsidRDefault="00D2304D" w:rsidP="00C8348E">
      <w:pPr>
        <w:jc w:val="both"/>
      </w:pPr>
      <w:r>
        <w:t>La phase de calibration par la DAB procède en plusieurs étapes :</w:t>
      </w:r>
    </w:p>
    <w:p w:rsidR="001238C6" w:rsidRDefault="00D2304D" w:rsidP="00D2304D">
      <w:pPr>
        <w:pStyle w:val="Paragraphedeliste"/>
        <w:numPr>
          <w:ilvl w:val="0"/>
          <w:numId w:val="24"/>
        </w:numPr>
        <w:jc w:val="both"/>
      </w:pPr>
      <w:r>
        <w:t xml:space="preserve">On détermine </w:t>
      </w:r>
      <w:r w:rsidR="00C3149E">
        <w:t xml:space="preserve">d’abord </w:t>
      </w:r>
      <w:r>
        <w:t>pour chaque spectre la puissance totale</w:t>
      </w:r>
      <w:r w:rsidR="001238C6">
        <w:t xml:space="preserve"> dans une bande de fréquence fixée. O</w:t>
      </w:r>
      <w:r>
        <w:t>n dispose alors du suivi en temps de cette puissance tous les 120ms sur une période couvrant en principe la période d’injection du signal de la</w:t>
      </w:r>
      <w:r w:rsidR="0075779D">
        <w:t xml:space="preserve"> DAB en deux endroits du cornet </w:t>
      </w:r>
      <w:r w:rsidR="001238C6">
        <w:t xml:space="preserve">(cf. </w:t>
      </w:r>
      <w:r w:rsidR="005A3F1B">
        <w:fldChar w:fldCharType="begin"/>
      </w:r>
      <w:r w:rsidR="00040FFB">
        <w:instrText xml:space="preserve"> REF _Ref309293986 \h </w:instrText>
      </w:r>
      <w:r w:rsidR="005A3F1B">
        <w:fldChar w:fldCharType="separate"/>
      </w:r>
      <w:r w:rsidR="00040FFB">
        <w:t xml:space="preserve">Figure </w:t>
      </w:r>
      <w:r w:rsidR="00040FFB">
        <w:rPr>
          <w:noProof/>
        </w:rPr>
        <w:t>5</w:t>
      </w:r>
      <w:r w:rsidR="005A3F1B">
        <w:fldChar w:fldCharType="end"/>
      </w:r>
      <w:r w:rsidR="00040FFB">
        <w:t>)</w:t>
      </w:r>
      <w:r w:rsidR="0075779D">
        <w:t>;</w:t>
      </w:r>
    </w:p>
    <w:tbl>
      <w:tblPr>
        <w:tblStyle w:val="Grilledutableau"/>
        <w:tblW w:w="0" w:type="auto"/>
        <w:tblInd w:w="720" w:type="dxa"/>
        <w:tblLook w:val="04A0"/>
      </w:tblPr>
      <w:tblGrid>
        <w:gridCol w:w="8039"/>
      </w:tblGrid>
      <w:tr w:rsidR="001238C6" w:rsidTr="001238C6">
        <w:tc>
          <w:tcPr>
            <w:tcW w:w="8683" w:type="dxa"/>
          </w:tcPr>
          <w:p w:rsidR="001238C6" w:rsidRDefault="001238C6" w:rsidP="001238C6">
            <w:pPr>
              <w:pStyle w:val="Paragraphedeliste"/>
              <w:keepNext/>
              <w:ind w:left="0"/>
              <w:jc w:val="center"/>
            </w:pPr>
            <w:r w:rsidRPr="001238C6">
              <w:rPr>
                <w:noProof/>
                <w:lang w:eastAsia="fr-FR"/>
              </w:rPr>
              <w:lastRenderedPageBreak/>
              <w:drawing>
                <wp:inline distT="0" distB="0" distL="0" distR="0">
                  <wp:extent cx="3477256" cy="3528392"/>
                  <wp:effectExtent l="19050" t="0" r="8894" b="0"/>
                  <wp:docPr id="22" name="Image 22"/>
                  <wp:cNvGraphicFramePr/>
                  <a:graphic xmlns:a="http://schemas.openxmlformats.org/drawingml/2006/main">
                    <a:graphicData uri="http://schemas.openxmlformats.org/drawingml/2006/picture">
                      <pic:pic xmlns:pic="http://schemas.openxmlformats.org/drawingml/2006/picture">
                        <pic:nvPicPr>
                          <pic:cNvPr id="2050" name="Picture 2"/>
                          <pic:cNvPicPr>
                            <a:picLocks noChangeAspect="1" noChangeArrowheads="1"/>
                          </pic:cNvPicPr>
                        </pic:nvPicPr>
                        <pic:blipFill>
                          <a:blip r:embed="rId12" cstate="print"/>
                          <a:srcRect/>
                          <a:stretch>
                            <a:fillRect/>
                          </a:stretch>
                        </pic:blipFill>
                        <pic:spPr bwMode="auto">
                          <a:xfrm>
                            <a:off x="0" y="0"/>
                            <a:ext cx="3477256" cy="3528392"/>
                          </a:xfrm>
                          <a:prstGeom prst="rect">
                            <a:avLst/>
                          </a:prstGeom>
                          <a:noFill/>
                          <a:ln w="9525">
                            <a:noFill/>
                            <a:miter lim="800000"/>
                            <a:headEnd/>
                            <a:tailEnd/>
                          </a:ln>
                        </pic:spPr>
                      </pic:pic>
                    </a:graphicData>
                  </a:graphic>
                </wp:inline>
              </w:drawing>
            </w:r>
          </w:p>
          <w:p w:rsidR="001238C6" w:rsidRDefault="001238C6" w:rsidP="00C3149E">
            <w:pPr>
              <w:pStyle w:val="Lgende"/>
              <w:jc w:val="both"/>
            </w:pPr>
            <w:bookmarkStart w:id="14" w:name="_Ref309293986"/>
            <w:r>
              <w:t xml:space="preserve">Figure </w:t>
            </w:r>
            <w:fldSimple w:instr=" SEQ Figure \* ARABIC ">
              <w:r w:rsidR="00DD6E13">
                <w:rPr>
                  <w:noProof/>
                </w:rPr>
                <w:t>5</w:t>
              </w:r>
            </w:fldSimple>
            <w:bookmarkEnd w:id="14"/>
            <w:r>
              <w:t xml:space="preserve"> Exemple de la puissance normalisée de l'ensemble des spectres issus du traitement CALIB au cours des cycles du </w:t>
            </w:r>
            <w:proofErr w:type="spellStart"/>
            <w:r>
              <w:t>run</w:t>
            </w:r>
            <w:proofErr w:type="spellEnd"/>
            <w:r>
              <w:t xml:space="preserve"> du 7 mai 2011. Le t0=0sec correspond au temps des DAB du fichier SCA.</w:t>
            </w:r>
            <w:r w:rsidR="00C3149E">
              <w:t xml:space="preserve"> La fréquence utilisé</w:t>
            </w:r>
            <w:r w:rsidR="00724877">
              <w:t>e</w:t>
            </w:r>
            <w:r w:rsidR="00C3149E">
              <w:t xml:space="preserve"> dans cet</w:t>
            </w:r>
            <w:r>
              <w:t xml:space="preserve"> exemple est de 1386MHz avec une largeur de 6.25MHz.</w:t>
            </w:r>
          </w:p>
        </w:tc>
      </w:tr>
    </w:tbl>
    <w:p w:rsidR="001238C6" w:rsidRDefault="001238C6" w:rsidP="00C3149E">
      <w:pPr>
        <w:jc w:val="both"/>
      </w:pPr>
    </w:p>
    <w:p w:rsidR="0075779D" w:rsidRDefault="0075779D" w:rsidP="00D2304D">
      <w:pPr>
        <w:pStyle w:val="Paragraphedeliste"/>
        <w:numPr>
          <w:ilvl w:val="0"/>
          <w:numId w:val="24"/>
        </w:numPr>
        <w:jc w:val="both"/>
      </w:pPr>
      <w:r>
        <w:t xml:space="preserve">Par un algorithme automatique rendu possible par la normalisation par le gain précédemment déterminé, on peut extraire les spectres </w:t>
      </w:r>
      <w:r w:rsidR="00C3149E">
        <w:t>dans les deux fenêtres en temps [</w:t>
      </w:r>
      <w:r w:rsidR="00C3149E" w:rsidRPr="00C3149E">
        <w:rPr>
          <w:rFonts w:ascii="Symbol" w:hAnsi="Symbol"/>
        </w:rPr>
        <w:t></w:t>
      </w:r>
      <w:r w:rsidR="00C3149E">
        <w:t xml:space="preserve">3sec, </w:t>
      </w:r>
      <w:r w:rsidR="00C3149E" w:rsidRPr="00C3149E">
        <w:rPr>
          <w:rFonts w:ascii="Symbol" w:hAnsi="Symbol"/>
        </w:rPr>
        <w:t></w:t>
      </w:r>
      <w:r w:rsidR="00C3149E">
        <w:t xml:space="preserve">1sec] et [6sec, 8sec]. En en faisant une moyenne, nous obtenons le niveau de base probablement relié au </w:t>
      </w:r>
      <w:proofErr w:type="spellStart"/>
      <w:r w:rsidR="00C3149E">
        <w:t>Tsys</w:t>
      </w:r>
      <w:proofErr w:type="spellEnd"/>
      <w:r w:rsidR="00893FB8">
        <w:t xml:space="preserve">. Ensuite, en fixant un seuil à 20% de la différence entre la valeur maximum et minium de puissance au dessus du minium de puissance, on détermine les 2 nivaux de DAB correspondant aux 2 injections à des endroits différents du cornet. Sur chaque niveau, on extrait la médiane de la puissance, et finalement on prend la moyenne de ces 2 médianes pour définir le coefficient de calibration BAO du cycle concerné et pour les 2 canaux. En faisant la moyenne de tous les cycles d’un </w:t>
      </w:r>
      <w:proofErr w:type="spellStart"/>
      <w:r w:rsidR="00893FB8">
        <w:t>run</w:t>
      </w:r>
      <w:proofErr w:type="spellEnd"/>
      <w:r w:rsidR="00893FB8">
        <w:t xml:space="preserve"> donné, on obtient le coefficient pour chaque canal valable pour ce </w:t>
      </w:r>
      <w:proofErr w:type="spellStart"/>
      <w:r w:rsidR="00893FB8">
        <w:t>run</w:t>
      </w:r>
      <w:proofErr w:type="spellEnd"/>
      <w:r w:rsidR="00893FB8">
        <w:t xml:space="preserve">. </w:t>
      </w:r>
    </w:p>
    <w:p w:rsidR="000976B5" w:rsidRDefault="000976B5" w:rsidP="000976B5">
      <w:pPr>
        <w:pStyle w:val="Paragraphedeliste"/>
        <w:jc w:val="both"/>
      </w:pPr>
    </w:p>
    <w:p w:rsidR="002B3C1D" w:rsidRDefault="000976B5" w:rsidP="00C8348E">
      <w:pPr>
        <w:jc w:val="both"/>
      </w:pPr>
      <w:r>
        <w:t>L’étude de la chromaticité de la DAB ainsi que son influence sur les coefficients de calibration BAO pour corriger les données ON/OFF sera décrite dans un autre MEMO. Cependant, par la suite je n’utilise pas ces calibrations et présente que des données non calibrées qui paraissent bien plus stables.</w:t>
      </w:r>
    </w:p>
    <w:p w:rsidR="006F04FE" w:rsidRDefault="006F04FE" w:rsidP="006F04FE">
      <w:pPr>
        <w:pStyle w:val="Titre3"/>
        <w:tabs>
          <w:tab w:val="clear" w:pos="3130"/>
          <w:tab w:val="num" w:pos="720"/>
        </w:tabs>
        <w:ind w:left="720"/>
      </w:pPr>
      <w:r>
        <w:t>Données : ON, OFF et différences</w:t>
      </w:r>
    </w:p>
    <w:p w:rsidR="00D2304D" w:rsidRDefault="006F04FE" w:rsidP="00C8348E">
      <w:pPr>
        <w:jc w:val="both"/>
      </w:pPr>
      <w:r>
        <w:t xml:space="preserve">Suite à la première réduction, on procède simplement au calcul des moyennes des spectres associés à chaque traitement DATA ON et OFF pour chaque cycle sans les affecter d’une calibration quelconque ni d’un filtrage </w:t>
      </w:r>
      <w:r w:rsidR="00667567">
        <w:t>fréquentiel</w:t>
      </w:r>
      <w:r>
        <w:t>.</w:t>
      </w:r>
      <w:r w:rsidR="00667567">
        <w:t xml:space="preserve"> </w:t>
      </w:r>
    </w:p>
    <w:p w:rsidR="00667567" w:rsidRDefault="00667567" w:rsidP="00667567">
      <w:pPr>
        <w:pStyle w:val="Titre2"/>
      </w:pPr>
      <w:r>
        <w:t>Analyse en bout de chaîne</w:t>
      </w:r>
    </w:p>
    <w:p w:rsidR="00667567" w:rsidRDefault="00667567" w:rsidP="00667567">
      <w:pPr>
        <w:jc w:val="both"/>
      </w:pPr>
      <w:r>
        <w:t xml:space="preserve">Cette étape se charge de combiner les résultats des différents traitements de la seconde réduction. Si la première réduction est la plus lourde et nécessite de soumettre des jobs </w:t>
      </w:r>
      <w:r>
        <w:lastRenderedPageBreak/>
        <w:t xml:space="preserve">en batch avec les restrictions et rigidités afférentes, cette dernière étape est la plus flexible est se fait en interactif en associant programme compilé et script propre à l’environnement SPIAPP. </w:t>
      </w:r>
    </w:p>
    <w:p w:rsidR="00667567" w:rsidRDefault="00667567" w:rsidP="00667567">
      <w:pPr>
        <w:pStyle w:val="Titre1"/>
      </w:pPr>
      <w:r>
        <w:t>Résultats actuels</w:t>
      </w:r>
    </w:p>
    <w:p w:rsidR="00667567" w:rsidRDefault="00667567" w:rsidP="00667567">
      <w:pPr>
        <w:jc w:val="both"/>
      </w:pPr>
      <w:r>
        <w:t xml:space="preserve">Les résultats qui sont présentés dans la suite sont issus de la phase d’analyse précédente donc sont à prendre comme « résultats préliminaires ». Ils concernent : la réduction des </w:t>
      </w:r>
      <w:proofErr w:type="spellStart"/>
      <w:r>
        <w:t>RFIs</w:t>
      </w:r>
      <w:proofErr w:type="spellEnd"/>
      <w:r>
        <w:t xml:space="preserve">, la stabilité de la prise de données par l‘étude </w:t>
      </w:r>
      <w:proofErr w:type="gramStart"/>
      <w:r>
        <w:t>du résidus</w:t>
      </w:r>
      <w:proofErr w:type="gramEnd"/>
      <w:r>
        <w:t xml:space="preserve"> du HI galactique, la variation de la sensibilité en fonction du temps.</w:t>
      </w:r>
    </w:p>
    <w:p w:rsidR="00667567" w:rsidRDefault="00667567" w:rsidP="00667567">
      <w:pPr>
        <w:pStyle w:val="Titre2"/>
      </w:pPr>
      <w:r>
        <w:t xml:space="preserve">Réduction des </w:t>
      </w:r>
      <w:proofErr w:type="spellStart"/>
      <w:r>
        <w:t>RFIs</w:t>
      </w:r>
      <w:proofErr w:type="spellEnd"/>
    </w:p>
    <w:p w:rsidR="00B2786A" w:rsidRDefault="00667567" w:rsidP="00B2786A">
      <w:pPr>
        <w:jc w:val="both"/>
      </w:pPr>
      <w:r>
        <w:t>Pour m</w:t>
      </w:r>
      <w:r w:rsidR="00AD4068">
        <w:t xml:space="preserve">ettre en évidence le gain de l’usage de la médiane par rapport à la moyenne pour filtrer les </w:t>
      </w:r>
      <w:proofErr w:type="spellStart"/>
      <w:r w:rsidR="00AD4068">
        <w:t>RFIs</w:t>
      </w:r>
      <w:proofErr w:type="spellEnd"/>
      <w:r w:rsidR="00AD4068">
        <w:t xml:space="preserve">, j’ai utilisé le </w:t>
      </w:r>
      <w:proofErr w:type="spellStart"/>
      <w:r w:rsidR="00AD4068">
        <w:t>run</w:t>
      </w:r>
      <w:proofErr w:type="spellEnd"/>
      <w:r w:rsidR="00AD4068">
        <w:t xml:space="preserve"> du 28 avril 2011 pour procéder en premier lieu à l’obtention de 100 moyennes et déviation standards (pour les 8192 fréquences) obtenues par le traitement MEAN (ON et OFF). Avec ces valeurs, on peut définir </w:t>
      </w:r>
      <w:r w:rsidR="00B2786A">
        <w:t xml:space="preserve">une variable réduite </w:t>
      </w:r>
    </w:p>
    <w:tbl>
      <w:tblPr>
        <w:tblStyle w:val="Grilledutableau"/>
        <w:tblW w:w="0" w:type="auto"/>
        <w:tblInd w:w="108" w:type="dxa"/>
        <w:tblLook w:val="04A0"/>
      </w:tblPr>
      <w:tblGrid>
        <w:gridCol w:w="5950"/>
        <w:gridCol w:w="2697"/>
      </w:tblGrid>
      <w:tr w:rsidR="00B2786A" w:rsidTr="00B2786A">
        <w:tc>
          <w:tcPr>
            <w:tcW w:w="5950" w:type="dxa"/>
            <w:vAlign w:val="center"/>
          </w:tcPr>
          <w:p w:rsidR="00B2786A" w:rsidRDefault="005A3F1B" w:rsidP="00B2786A">
            <w:pPr>
              <w:jc w:val="both"/>
            </w:pPr>
            <w:r>
              <w:rPr>
                <w:noProof/>
                <w:lang w:eastAsia="fr-FR"/>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Object 11" o:spid="_x0000_s1141" type="#_x0000_t75" style="position:absolute;left:0;text-align:left;margin-left:50.4pt;margin-top:16.25pt;width:131.75pt;height:50.35pt;z-index:251665408" fillcolor="#4f81bd">
                  <v:imagedata r:id="rId13" o:title=""/>
                  <v:shadow color="#eeece1"/>
                  <w10:wrap type="topAndBottom"/>
                </v:shape>
                <o:OLEObject Type="Embed" ProgID="Equation.3" ShapeID="Object 11" DrawAspect="Content" ObjectID="_1383139386" r:id="rId14"/>
              </w:pict>
            </w:r>
          </w:p>
        </w:tc>
        <w:tc>
          <w:tcPr>
            <w:tcW w:w="2697" w:type="dxa"/>
            <w:vAlign w:val="center"/>
          </w:tcPr>
          <w:p w:rsidR="00B2786A" w:rsidRDefault="00B2786A" w:rsidP="00B2786A">
            <w:pPr>
              <w:jc w:val="right"/>
            </w:pPr>
            <w:proofErr w:type="spellStart"/>
            <w:r>
              <w:t>Eq</w:t>
            </w:r>
            <w:proofErr w:type="spellEnd"/>
            <w:r>
              <w:t>. 1</w:t>
            </w:r>
          </w:p>
        </w:tc>
      </w:tr>
    </w:tbl>
    <w:p w:rsidR="00667567" w:rsidRDefault="00B2786A" w:rsidP="00C8348E">
      <w:pPr>
        <w:jc w:val="both"/>
      </w:pPr>
      <w:r>
        <w:t xml:space="preserve">Dans cette formule, </w:t>
      </w:r>
      <w:r w:rsidRPr="00B2786A">
        <w:rPr>
          <w:i/>
        </w:rPr>
        <w:t>i</w:t>
      </w:r>
      <w:r>
        <w:rPr>
          <w:i/>
        </w:rPr>
        <w:t xml:space="preserve"> </w:t>
      </w:r>
      <w:r>
        <w:t xml:space="preserve">coure sur les 100 valeurs, </w:t>
      </w:r>
      <w:proofErr w:type="spellStart"/>
      <w:r w:rsidRPr="00B2786A">
        <w:rPr>
          <w:i/>
        </w:rPr>
        <w:t>mean</w:t>
      </w:r>
      <w:r w:rsidRPr="00B2786A">
        <w:rPr>
          <w:i/>
          <w:vertAlign w:val="subscript"/>
        </w:rPr>
        <w:t>i</w:t>
      </w:r>
      <w:proofErr w:type="spellEnd"/>
      <w:r>
        <w:rPr>
          <w:i/>
        </w:rPr>
        <w:t xml:space="preserve"> </w:t>
      </w:r>
      <w:r>
        <w:t xml:space="preserve">et </w:t>
      </w:r>
      <w:r w:rsidRPr="00B2786A">
        <w:rPr>
          <w:rFonts w:ascii="Symbol" w:hAnsi="Symbol"/>
        </w:rPr>
        <w:t></w:t>
      </w:r>
      <w:r w:rsidRPr="00B2786A">
        <w:rPr>
          <w:i/>
          <w:vertAlign w:val="subscript"/>
        </w:rPr>
        <w:t>i</w:t>
      </w:r>
      <w:r>
        <w:t xml:space="preserve"> désignent les moyennes et déviations standards obtenues avec les </w:t>
      </w:r>
      <w:r w:rsidRPr="00B2786A">
        <w:rPr>
          <w:i/>
        </w:rPr>
        <w:t>N</w:t>
      </w:r>
      <w:r w:rsidRPr="00B2786A">
        <w:rPr>
          <w:i/>
          <w:vertAlign w:val="subscript"/>
        </w:rPr>
        <w:t>paq.per.win</w:t>
      </w:r>
      <w:r>
        <w:t xml:space="preserve"> = 25000 paquets par fenêtre. </w:t>
      </w:r>
      <w:r w:rsidR="002E01C7">
        <w:t xml:space="preserve">Le dénominateur n’est autre que l’erreur sur la moyenne d’un échantillon connaissant la  déviation standard empirique. </w:t>
      </w:r>
      <w:r>
        <w:t xml:space="preserve">Cette variable réduite suit sauf accident une loi normale </w:t>
      </w:r>
      <w:r w:rsidRPr="00B2786A">
        <w:rPr>
          <w:rFonts w:ascii="Monotype Corsiva" w:hAnsi="Monotype Corsiva"/>
        </w:rPr>
        <w:t>N</w:t>
      </w:r>
      <w:r>
        <w:t>(0,1).</w:t>
      </w:r>
      <w:r w:rsidR="00A87BB4">
        <w:t xml:space="preserve"> La distribution de celle-ci sur l’ensemble </w:t>
      </w:r>
      <w:r w:rsidR="00843401">
        <w:t xml:space="preserve">des fenêtres de type OFF sur </w:t>
      </w:r>
      <w:r w:rsidR="00A87BB4">
        <w:t xml:space="preserve">la bande de fréquence de 250MHz de large est présentée sur la </w:t>
      </w:r>
      <w:r w:rsidR="005A3F1B">
        <w:fldChar w:fldCharType="begin"/>
      </w:r>
      <w:r w:rsidR="00A87BB4">
        <w:instrText xml:space="preserve"> REF _Ref309313898 \h </w:instrText>
      </w:r>
      <w:r w:rsidR="005A3F1B">
        <w:fldChar w:fldCharType="separate"/>
      </w:r>
      <w:r w:rsidR="00A87BB4">
        <w:t xml:space="preserve">Figure </w:t>
      </w:r>
      <w:r w:rsidR="00A87BB4">
        <w:rPr>
          <w:noProof/>
        </w:rPr>
        <w:t>6</w:t>
      </w:r>
      <w:r w:rsidR="005A3F1B">
        <w:fldChar w:fldCharType="end"/>
      </w:r>
      <w:r w:rsidR="00A87BB4">
        <w:t xml:space="preserve">. L’effet des </w:t>
      </w:r>
      <w:proofErr w:type="spellStart"/>
      <w:r w:rsidR="00A87BB4">
        <w:t>RFIs</w:t>
      </w:r>
      <w:proofErr w:type="spellEnd"/>
      <w:r w:rsidR="00A87BB4">
        <w:t xml:space="preserve"> est clairement visible, en dehors de ces accidents les variables réduites suivent la distribution attendue.</w:t>
      </w:r>
    </w:p>
    <w:tbl>
      <w:tblPr>
        <w:tblStyle w:val="Grilledutableau"/>
        <w:tblW w:w="0" w:type="auto"/>
        <w:tblLook w:val="04A0"/>
      </w:tblPr>
      <w:tblGrid>
        <w:gridCol w:w="8759"/>
      </w:tblGrid>
      <w:tr w:rsidR="00A87BB4" w:rsidTr="00A87BB4">
        <w:tc>
          <w:tcPr>
            <w:tcW w:w="8683" w:type="dxa"/>
            <w:vAlign w:val="center"/>
          </w:tcPr>
          <w:p w:rsidR="00A87BB4" w:rsidRDefault="00A87BB4" w:rsidP="00A87BB4">
            <w:pPr>
              <w:keepNext/>
              <w:jc w:val="center"/>
            </w:pPr>
            <w:r w:rsidRPr="00A87BB4">
              <w:rPr>
                <w:noProof/>
                <w:lang w:eastAsia="fr-FR"/>
              </w:rPr>
              <w:drawing>
                <wp:inline distT="0" distB="0" distL="0" distR="0">
                  <wp:extent cx="5477509" cy="2476222"/>
                  <wp:effectExtent l="19050" t="0" r="8891" b="0"/>
                  <wp:docPr id="4" name="Image 4"/>
                  <wp:cNvGraphicFramePr/>
                  <a:graphic xmlns:a="http://schemas.openxmlformats.org/drawingml/2006/main">
                    <a:graphicData uri="http://schemas.openxmlformats.org/drawingml/2006/picture">
                      <pic:pic xmlns:pic="http://schemas.openxmlformats.org/drawingml/2006/picture">
                        <pic:nvPicPr>
                          <pic:cNvPr id="1027" name="Picture 2"/>
                          <pic:cNvPicPr>
                            <a:picLocks noChangeAspect="1" noChangeArrowheads="1"/>
                          </pic:cNvPicPr>
                        </pic:nvPicPr>
                        <pic:blipFill>
                          <a:blip r:embed="rId15" cstate="print"/>
                          <a:srcRect/>
                          <a:stretch>
                            <a:fillRect/>
                          </a:stretch>
                        </pic:blipFill>
                        <pic:spPr bwMode="auto">
                          <a:xfrm>
                            <a:off x="0" y="0"/>
                            <a:ext cx="5477509" cy="2476222"/>
                          </a:xfrm>
                          <a:prstGeom prst="rect">
                            <a:avLst/>
                          </a:prstGeom>
                          <a:noFill/>
                          <a:ln w="9525">
                            <a:noFill/>
                            <a:miter lim="800000"/>
                            <a:headEnd/>
                            <a:tailEnd/>
                          </a:ln>
                        </pic:spPr>
                      </pic:pic>
                    </a:graphicData>
                  </a:graphic>
                </wp:inline>
              </w:drawing>
            </w:r>
          </w:p>
          <w:p w:rsidR="00A87BB4" w:rsidRDefault="00A87BB4" w:rsidP="00A87BB4">
            <w:pPr>
              <w:pStyle w:val="Lgende"/>
              <w:jc w:val="both"/>
            </w:pPr>
            <w:bookmarkStart w:id="15" w:name="_Ref309313898"/>
            <w:r>
              <w:t xml:space="preserve">Figure </w:t>
            </w:r>
            <w:fldSimple w:instr=" SEQ Figure \* ARABIC ">
              <w:r w:rsidR="00DD6E13">
                <w:rPr>
                  <w:noProof/>
                </w:rPr>
                <w:t>6</w:t>
              </w:r>
            </w:fldSimple>
            <w:bookmarkEnd w:id="15"/>
            <w:r>
              <w:t xml:space="preserve"> Variable réduite dans le cas des moyennes et déviations standard obtenues sur 100 fenêtres de 25000 paquets</w:t>
            </w:r>
            <w:r w:rsidR="00843401">
              <w:t xml:space="preserve"> prises sur les données OFF</w:t>
            </w:r>
            <w:r>
              <w:t xml:space="preserve">. Sauf accident, la moyenne est 0, tandis que la déviation standard est 1. Les accidents reflètent l’effet des </w:t>
            </w:r>
            <w:proofErr w:type="spellStart"/>
            <w:r>
              <w:t>RFIs</w:t>
            </w:r>
            <w:proofErr w:type="spellEnd"/>
            <w:r>
              <w:t>. L’abscisse correspond à la bande totale de fréquences entre 1250MHz et 1500MHz avec une résolution de 30kHz.</w:t>
            </w:r>
            <w:r w:rsidR="00D67948">
              <w:t xml:space="preserve"> Les deux couleurs correspondent aux deux canaux (bleu : </w:t>
            </w:r>
            <w:proofErr w:type="spellStart"/>
            <w:r w:rsidR="00D67948">
              <w:t>Ch</w:t>
            </w:r>
            <w:proofErr w:type="spellEnd"/>
            <w:r w:rsidR="00D67948">
              <w:t xml:space="preserve"> 0, rouge : </w:t>
            </w:r>
            <w:proofErr w:type="spellStart"/>
            <w:r w:rsidR="00D67948">
              <w:t>Ch</w:t>
            </w:r>
            <w:proofErr w:type="spellEnd"/>
            <w:r w:rsidR="00D67948">
              <w:t xml:space="preserve"> 1). </w:t>
            </w:r>
          </w:p>
        </w:tc>
      </w:tr>
    </w:tbl>
    <w:p w:rsidR="00A87BB4" w:rsidRDefault="00A87BB4" w:rsidP="00C8348E">
      <w:pPr>
        <w:jc w:val="both"/>
      </w:pPr>
      <w:r>
        <w:t xml:space="preserve"> </w:t>
      </w:r>
    </w:p>
    <w:p w:rsidR="00A87BB4" w:rsidRDefault="00A87BB4" w:rsidP="00C8348E">
      <w:pPr>
        <w:jc w:val="both"/>
      </w:pPr>
      <w:r>
        <w:lastRenderedPageBreak/>
        <w:t xml:space="preserve">Avec les mêmes données </w:t>
      </w:r>
      <w:r w:rsidR="002E01C7">
        <w:t xml:space="preserve">utilisées </w:t>
      </w:r>
      <w:r>
        <w:t>cette fois selon le</w:t>
      </w:r>
      <w:r w:rsidR="002E01C7">
        <w:t xml:space="preserve"> traitement DATA ON/OFF, on obtient environ 100 médianes obtenues avec 25600 paquets. Afin d’obtenir une variable réduite similaire à l’Equation 1, il convient de la définir selon </w:t>
      </w:r>
    </w:p>
    <w:tbl>
      <w:tblPr>
        <w:tblStyle w:val="Grilledutableau"/>
        <w:tblW w:w="0" w:type="auto"/>
        <w:tblLook w:val="04A0"/>
      </w:tblPr>
      <w:tblGrid>
        <w:gridCol w:w="4341"/>
        <w:gridCol w:w="4342"/>
      </w:tblGrid>
      <w:tr w:rsidR="002E01C7" w:rsidTr="002E01C7">
        <w:tc>
          <w:tcPr>
            <w:tcW w:w="4341" w:type="dxa"/>
            <w:vAlign w:val="center"/>
          </w:tcPr>
          <w:p w:rsidR="002E01C7" w:rsidRDefault="002E01C7" w:rsidP="002E01C7">
            <w:pPr>
              <w:jc w:val="center"/>
            </w:pPr>
            <w:r w:rsidRPr="00E77533">
              <w:rPr>
                <w:position w:val="-36"/>
              </w:rPr>
              <w:object w:dxaOrig="3220" w:dyaOrig="780">
                <v:shape id="_x0000_i1025" type="#_x0000_t75" style="width:189.2pt;height:45.9pt" o:ole="" fillcolor="#4f81bd">
                  <v:imagedata r:id="rId16" o:title=""/>
                </v:shape>
                <o:OLEObject Type="Embed" ProgID="Equation.3" ShapeID="_x0000_i1025" DrawAspect="Content" ObjectID="_1383139385" r:id="rId17"/>
              </w:object>
            </w:r>
          </w:p>
        </w:tc>
        <w:tc>
          <w:tcPr>
            <w:tcW w:w="4342" w:type="dxa"/>
            <w:vAlign w:val="center"/>
          </w:tcPr>
          <w:p w:rsidR="002E01C7" w:rsidRDefault="002E01C7" w:rsidP="002E01C7">
            <w:pPr>
              <w:jc w:val="right"/>
            </w:pPr>
            <w:proofErr w:type="spellStart"/>
            <w:r>
              <w:t>Eq</w:t>
            </w:r>
            <w:proofErr w:type="spellEnd"/>
            <w:r>
              <w:t>. 2</w:t>
            </w:r>
          </w:p>
        </w:tc>
      </w:tr>
    </w:tbl>
    <w:p w:rsidR="002E01C7" w:rsidRDefault="002E01C7" w:rsidP="00C8348E">
      <w:pPr>
        <w:jc w:val="both"/>
      </w:pPr>
    </w:p>
    <w:p w:rsidR="002E01C7" w:rsidRDefault="002E01C7" w:rsidP="00C8348E">
      <w:pPr>
        <w:jc w:val="both"/>
      </w:pPr>
      <w:r>
        <w:t>La notation est similaire à celle utilisée pour Equation 1. Le dénominateur tient compte de la loi exponentielle de l’intensité reçue</w:t>
      </w:r>
      <w:r w:rsidR="00354271">
        <w:rPr>
          <w:rStyle w:val="Appelnotedebasdep"/>
        </w:rPr>
        <w:footnoteReference w:id="4"/>
      </w:r>
      <w:r>
        <w:t>.</w:t>
      </w:r>
      <w:r w:rsidR="00354271">
        <w:t xml:space="preserve"> Tout comme </w:t>
      </w:r>
      <w:r w:rsidR="001846D4">
        <w:t>précédemment</w:t>
      </w:r>
      <w:r w:rsidR="00354271">
        <w:t xml:space="preserve">, cette </w:t>
      </w:r>
      <w:r w:rsidR="001846D4">
        <w:t>variable</w:t>
      </w:r>
      <w:r w:rsidR="00354271">
        <w:t xml:space="preserve"> réduite sauf accident suit une loi normale </w:t>
      </w:r>
      <w:r w:rsidR="00354271" w:rsidRPr="00B2786A">
        <w:rPr>
          <w:rFonts w:ascii="Monotype Corsiva" w:hAnsi="Monotype Corsiva"/>
        </w:rPr>
        <w:t>N</w:t>
      </w:r>
      <w:r w:rsidR="00354271">
        <w:t>(0,1). La distribution de celle-ci sur</w:t>
      </w:r>
      <w:r w:rsidR="00843401">
        <w:t xml:space="preserve"> les fenêtres de données OFF et</w:t>
      </w:r>
      <w:r w:rsidR="00354271">
        <w:t xml:space="preserve"> l’ensemble de la bande de fréquence de 250MHz de large est présentée sur la</w:t>
      </w:r>
      <w:r w:rsidR="001846D4">
        <w:t xml:space="preserve"> </w:t>
      </w:r>
      <w:r w:rsidR="005A3F1B">
        <w:fldChar w:fldCharType="begin"/>
      </w:r>
      <w:r w:rsidR="001846D4">
        <w:instrText xml:space="preserve"> REF _Ref309315025 \h </w:instrText>
      </w:r>
      <w:r w:rsidR="005A3F1B">
        <w:fldChar w:fldCharType="separate"/>
      </w:r>
      <w:r w:rsidR="001846D4">
        <w:t xml:space="preserve">Figure </w:t>
      </w:r>
      <w:r w:rsidR="001846D4">
        <w:rPr>
          <w:noProof/>
        </w:rPr>
        <w:t>7</w:t>
      </w:r>
      <w:r w:rsidR="005A3F1B">
        <w:fldChar w:fldCharType="end"/>
      </w:r>
      <w:r w:rsidR="001846D4">
        <w:t xml:space="preserve">. On observe qu’en dehors des accidents qui reflètent les </w:t>
      </w:r>
      <w:proofErr w:type="spellStart"/>
      <w:r w:rsidR="001846D4">
        <w:t>RFIs</w:t>
      </w:r>
      <w:proofErr w:type="spellEnd"/>
      <w:r w:rsidR="001846D4">
        <w:t xml:space="preserve"> résiduels, les </w:t>
      </w:r>
      <w:proofErr w:type="spellStart"/>
      <w:r w:rsidR="001846D4">
        <w:t>varibles</w:t>
      </w:r>
      <w:proofErr w:type="spellEnd"/>
      <w:r w:rsidR="001846D4">
        <w:t xml:space="preserve"> réduites suivent bien la loi attendue.</w:t>
      </w:r>
    </w:p>
    <w:tbl>
      <w:tblPr>
        <w:tblStyle w:val="Grilledutableau"/>
        <w:tblW w:w="0" w:type="auto"/>
        <w:tblLook w:val="04A0"/>
      </w:tblPr>
      <w:tblGrid>
        <w:gridCol w:w="8759"/>
      </w:tblGrid>
      <w:tr w:rsidR="00354271" w:rsidTr="00354271">
        <w:tc>
          <w:tcPr>
            <w:tcW w:w="8683" w:type="dxa"/>
          </w:tcPr>
          <w:p w:rsidR="001846D4" w:rsidRDefault="001846D4" w:rsidP="001846D4">
            <w:pPr>
              <w:keepNext/>
              <w:jc w:val="both"/>
            </w:pPr>
            <w:r w:rsidRPr="001846D4">
              <w:rPr>
                <w:noProof/>
                <w:lang w:eastAsia="fr-FR"/>
              </w:rPr>
              <w:drawing>
                <wp:inline distT="0" distB="0" distL="0" distR="0">
                  <wp:extent cx="5437729" cy="2409477"/>
                  <wp:effectExtent l="19050" t="0" r="0" b="0"/>
                  <wp:docPr id="5" name="Image 5"/>
                  <wp:cNvGraphicFramePr/>
                  <a:graphic xmlns:a="http://schemas.openxmlformats.org/drawingml/2006/main">
                    <a:graphicData uri="http://schemas.openxmlformats.org/drawingml/2006/picture">
                      <pic:pic xmlns:pic="http://schemas.openxmlformats.org/drawingml/2006/picture">
                        <pic:nvPicPr>
                          <pic:cNvPr id="2051" name="Picture 2"/>
                          <pic:cNvPicPr>
                            <a:picLocks noChangeAspect="1" noChangeArrowheads="1"/>
                          </pic:cNvPicPr>
                        </pic:nvPicPr>
                        <pic:blipFill>
                          <a:blip r:embed="rId18" cstate="print"/>
                          <a:srcRect/>
                          <a:stretch>
                            <a:fillRect/>
                          </a:stretch>
                        </pic:blipFill>
                        <pic:spPr bwMode="auto">
                          <a:xfrm>
                            <a:off x="0" y="0"/>
                            <a:ext cx="5442174" cy="2411447"/>
                          </a:xfrm>
                          <a:prstGeom prst="rect">
                            <a:avLst/>
                          </a:prstGeom>
                          <a:noFill/>
                          <a:ln w="9525">
                            <a:noFill/>
                            <a:miter lim="800000"/>
                            <a:headEnd/>
                            <a:tailEnd/>
                          </a:ln>
                        </pic:spPr>
                      </pic:pic>
                    </a:graphicData>
                  </a:graphic>
                </wp:inline>
              </w:drawing>
            </w:r>
          </w:p>
          <w:p w:rsidR="00354271" w:rsidRDefault="001846D4" w:rsidP="001846D4">
            <w:pPr>
              <w:pStyle w:val="Lgende"/>
              <w:jc w:val="both"/>
            </w:pPr>
            <w:bookmarkStart w:id="16" w:name="_Ref309315025"/>
            <w:r>
              <w:t xml:space="preserve">Figure </w:t>
            </w:r>
            <w:fldSimple w:instr=" SEQ Figure \* ARABIC ">
              <w:r w:rsidR="00DD6E13">
                <w:rPr>
                  <w:noProof/>
                </w:rPr>
                <w:t>7</w:t>
              </w:r>
            </w:fldSimple>
            <w:bookmarkEnd w:id="16"/>
            <w:r>
              <w:t xml:space="preserve"> Variable réduite dans le cas des médianes obtenues sur 100 fenêtres de 25600 paquets</w:t>
            </w:r>
            <w:r w:rsidR="00843401">
              <w:t xml:space="preserve"> prises sur les données OFF</w:t>
            </w:r>
            <w:r>
              <w:t xml:space="preserve">. Sauf accident, la moyenne est 0, tandis que la déviation standard est 1. Les accidents reflètent l’effet des </w:t>
            </w:r>
            <w:proofErr w:type="spellStart"/>
            <w:r>
              <w:t>RFIs</w:t>
            </w:r>
            <w:proofErr w:type="spellEnd"/>
            <w:r>
              <w:t xml:space="preserve">. L’abscisse correspond à la bande totale de fréquences entre 1250MHz et 1500MHz avec une résolution de 30kHz. Par rapport à la </w:t>
            </w:r>
            <w:r w:rsidR="005A3F1B">
              <w:fldChar w:fldCharType="begin"/>
            </w:r>
            <w:r>
              <w:instrText xml:space="preserve"> REF _Ref309313898 \h </w:instrText>
            </w:r>
            <w:r w:rsidR="005A3F1B">
              <w:fldChar w:fldCharType="separate"/>
            </w:r>
            <w:r>
              <w:t xml:space="preserve">Figure </w:t>
            </w:r>
            <w:r>
              <w:rPr>
                <w:noProof/>
              </w:rPr>
              <w:t>6</w:t>
            </w:r>
            <w:r w:rsidR="005A3F1B">
              <w:fldChar w:fldCharType="end"/>
            </w:r>
            <w:r>
              <w:t xml:space="preserve"> il faut </w:t>
            </w:r>
            <w:proofErr w:type="gramStart"/>
            <w:r>
              <w:t>noté</w:t>
            </w:r>
            <w:proofErr w:type="gramEnd"/>
            <w:r>
              <w:t xml:space="preserve"> le changement d’échelle verticale.</w:t>
            </w:r>
          </w:p>
        </w:tc>
      </w:tr>
    </w:tbl>
    <w:p w:rsidR="00354271" w:rsidRDefault="00354271" w:rsidP="00C8348E">
      <w:pPr>
        <w:jc w:val="both"/>
      </w:pPr>
    </w:p>
    <w:p w:rsidR="00D67948" w:rsidRDefault="001846D4" w:rsidP="00C8348E">
      <w:pPr>
        <w:jc w:val="both"/>
      </w:pPr>
      <w:r>
        <w:t xml:space="preserve">La comparaison des </w:t>
      </w:r>
      <w:r w:rsidR="005A3F1B">
        <w:fldChar w:fldCharType="begin"/>
      </w:r>
      <w:r>
        <w:instrText xml:space="preserve"> REF _Ref309313898 \h </w:instrText>
      </w:r>
      <w:r w:rsidR="005A3F1B">
        <w:fldChar w:fldCharType="separate"/>
      </w:r>
      <w:r>
        <w:t xml:space="preserve">Figure </w:t>
      </w:r>
      <w:r>
        <w:rPr>
          <w:noProof/>
        </w:rPr>
        <w:t>6</w:t>
      </w:r>
      <w:r w:rsidR="005A3F1B">
        <w:fldChar w:fldCharType="end"/>
      </w:r>
      <w:r>
        <w:t xml:space="preserve"> et </w:t>
      </w:r>
      <w:r w:rsidR="005A3F1B">
        <w:fldChar w:fldCharType="begin"/>
      </w:r>
      <w:r>
        <w:instrText xml:space="preserve"> REF _Ref309315025 \h </w:instrText>
      </w:r>
      <w:r w:rsidR="005A3F1B">
        <w:fldChar w:fldCharType="separate"/>
      </w:r>
      <w:r>
        <w:t xml:space="preserve">Figure </w:t>
      </w:r>
      <w:r>
        <w:rPr>
          <w:noProof/>
        </w:rPr>
        <w:t>7</w:t>
      </w:r>
      <w:r w:rsidR="005A3F1B">
        <w:fldChar w:fldCharType="end"/>
      </w:r>
      <w:r>
        <w:t xml:space="preserve"> est frappante : une bonne partie des 250MHz est nettoyée qui plus est l’</w:t>
      </w:r>
      <w:r w:rsidR="00D67948">
        <w:t>échelle verticale est bien réduite également. Po</w:t>
      </w:r>
      <w:r w:rsidR="00E216D4">
        <w:t xml:space="preserve">ur être plus précis un zoom de </w:t>
      </w:r>
      <w:r w:rsidR="00D67948">
        <w:t>la bande [1330, 1400</w:t>
      </w:r>
      <w:proofErr w:type="gramStart"/>
      <w:r w:rsidR="00D67948">
        <w:t>]MHz</w:t>
      </w:r>
      <w:proofErr w:type="gramEnd"/>
      <w:r w:rsidR="00D67948">
        <w:t xml:space="preserve"> est présenté avec la même échelle verticale sur les </w:t>
      </w:r>
      <w:r w:rsidR="005A3F1B">
        <w:fldChar w:fldCharType="begin"/>
      </w:r>
      <w:r w:rsidR="00D67948">
        <w:instrText xml:space="preserve"> REF _Ref309315592 \h </w:instrText>
      </w:r>
      <w:r w:rsidR="005A3F1B">
        <w:fldChar w:fldCharType="separate"/>
      </w:r>
      <w:r w:rsidR="00D67948">
        <w:t xml:space="preserve">Figure </w:t>
      </w:r>
      <w:r w:rsidR="00D67948">
        <w:rPr>
          <w:noProof/>
        </w:rPr>
        <w:t>8</w:t>
      </w:r>
      <w:r w:rsidR="005A3F1B">
        <w:fldChar w:fldCharType="end"/>
      </w:r>
      <w:r w:rsidR="00D67948">
        <w:t xml:space="preserve"> (moyenne) et </w:t>
      </w:r>
      <w:r w:rsidR="005A3F1B">
        <w:fldChar w:fldCharType="begin"/>
      </w:r>
      <w:r w:rsidR="00D67948">
        <w:instrText xml:space="preserve"> REF _Ref309315600 \h </w:instrText>
      </w:r>
      <w:r w:rsidR="005A3F1B">
        <w:fldChar w:fldCharType="separate"/>
      </w:r>
      <w:r w:rsidR="00D67948">
        <w:t xml:space="preserve">Figure </w:t>
      </w:r>
      <w:r w:rsidR="00D67948">
        <w:rPr>
          <w:noProof/>
        </w:rPr>
        <w:t>9</w:t>
      </w:r>
      <w:r w:rsidR="005A3F1B">
        <w:fldChar w:fldCharType="end"/>
      </w:r>
      <w:r w:rsidR="00D67948">
        <w:t xml:space="preserve"> (médiane). S’il reste </w:t>
      </w:r>
      <w:r w:rsidR="00843401">
        <w:t xml:space="preserve">deux </w:t>
      </w:r>
      <w:proofErr w:type="spellStart"/>
      <w:r w:rsidR="00843401">
        <w:t>RFIs</w:t>
      </w:r>
      <w:proofErr w:type="spellEnd"/>
      <w:r w:rsidR="00843401">
        <w:t xml:space="preserve"> dont un particulièreme</w:t>
      </w:r>
      <w:r w:rsidR="00E216D4">
        <w:t xml:space="preserve">nt sévère, les autres sont </w:t>
      </w:r>
      <w:r w:rsidR="00843401">
        <w:t xml:space="preserve">nettoyés par l’usage de la médiane sur les paquets. </w:t>
      </w:r>
    </w:p>
    <w:p w:rsidR="00E216D4" w:rsidRDefault="00E216D4" w:rsidP="00C8348E">
      <w:pPr>
        <w:jc w:val="both"/>
      </w:pPr>
    </w:p>
    <w:tbl>
      <w:tblPr>
        <w:tblStyle w:val="Grilledutableau"/>
        <w:tblW w:w="8762" w:type="dxa"/>
        <w:tblLook w:val="04A0"/>
      </w:tblPr>
      <w:tblGrid>
        <w:gridCol w:w="4380"/>
        <w:gridCol w:w="4382"/>
      </w:tblGrid>
      <w:tr w:rsidR="00D67948" w:rsidTr="00D67948">
        <w:tc>
          <w:tcPr>
            <w:tcW w:w="4380" w:type="dxa"/>
            <w:vAlign w:val="center"/>
          </w:tcPr>
          <w:p w:rsidR="00D67948" w:rsidRDefault="00D67948" w:rsidP="00D67948">
            <w:pPr>
              <w:keepNext/>
              <w:jc w:val="center"/>
            </w:pPr>
            <w:r w:rsidRPr="00D67948">
              <w:rPr>
                <w:noProof/>
                <w:lang w:eastAsia="fr-FR"/>
              </w:rPr>
              <w:lastRenderedPageBreak/>
              <w:drawing>
                <wp:inline distT="0" distB="0" distL="0" distR="0">
                  <wp:extent cx="2490544" cy="1915568"/>
                  <wp:effectExtent l="19050" t="0" r="5006" b="0"/>
                  <wp:docPr id="6" name="Image 6"/>
                  <wp:cNvGraphicFramePr/>
                  <a:graphic xmlns:a="http://schemas.openxmlformats.org/drawingml/2006/main">
                    <a:graphicData uri="http://schemas.openxmlformats.org/drawingml/2006/picture">
                      <pic:pic xmlns:pic="http://schemas.openxmlformats.org/drawingml/2006/picture">
                        <pic:nvPicPr>
                          <pic:cNvPr id="9220" name="Picture 4"/>
                          <pic:cNvPicPr>
                            <a:picLocks noChangeAspect="1" noChangeArrowheads="1"/>
                          </pic:cNvPicPr>
                        </pic:nvPicPr>
                        <pic:blipFill>
                          <a:blip r:embed="rId19" cstate="print"/>
                          <a:srcRect/>
                          <a:stretch>
                            <a:fillRect/>
                          </a:stretch>
                        </pic:blipFill>
                        <pic:spPr bwMode="auto">
                          <a:xfrm>
                            <a:off x="0" y="0"/>
                            <a:ext cx="2494624" cy="1918706"/>
                          </a:xfrm>
                          <a:prstGeom prst="rect">
                            <a:avLst/>
                          </a:prstGeom>
                          <a:noFill/>
                          <a:ln w="9525">
                            <a:noFill/>
                            <a:miter lim="800000"/>
                            <a:headEnd/>
                            <a:tailEnd/>
                          </a:ln>
                        </pic:spPr>
                      </pic:pic>
                    </a:graphicData>
                  </a:graphic>
                </wp:inline>
              </w:drawing>
            </w:r>
          </w:p>
          <w:p w:rsidR="00D67948" w:rsidRDefault="00D67948" w:rsidP="00D67948">
            <w:pPr>
              <w:pStyle w:val="Lgende"/>
              <w:jc w:val="center"/>
            </w:pPr>
            <w:bookmarkStart w:id="17" w:name="_Ref309315592"/>
            <w:r>
              <w:t xml:space="preserve">Figure </w:t>
            </w:r>
            <w:fldSimple w:instr=" SEQ Figure \* ARABIC ">
              <w:r w:rsidR="00DD6E13">
                <w:rPr>
                  <w:noProof/>
                </w:rPr>
                <w:t>8</w:t>
              </w:r>
            </w:fldSimple>
            <w:bookmarkEnd w:id="17"/>
            <w:r>
              <w:t xml:space="preserve"> Avec la technique de la moyenne</w:t>
            </w:r>
          </w:p>
        </w:tc>
        <w:tc>
          <w:tcPr>
            <w:tcW w:w="4382" w:type="dxa"/>
            <w:vAlign w:val="center"/>
          </w:tcPr>
          <w:p w:rsidR="00D67948" w:rsidRDefault="00D67948" w:rsidP="00D67948">
            <w:pPr>
              <w:keepNext/>
              <w:jc w:val="center"/>
            </w:pPr>
            <w:r w:rsidRPr="00D67948">
              <w:rPr>
                <w:noProof/>
                <w:lang w:eastAsia="fr-FR"/>
              </w:rPr>
              <w:drawing>
                <wp:inline distT="0" distB="0" distL="0" distR="0">
                  <wp:extent cx="2414126" cy="1875521"/>
                  <wp:effectExtent l="19050" t="0" r="5224" b="0"/>
                  <wp:docPr id="7" name="Image 7"/>
                  <wp:cNvGraphicFramePr/>
                  <a:graphic xmlns:a="http://schemas.openxmlformats.org/drawingml/2006/main">
                    <a:graphicData uri="http://schemas.openxmlformats.org/drawingml/2006/picture">
                      <pic:pic xmlns:pic="http://schemas.openxmlformats.org/drawingml/2006/picture">
                        <pic:nvPicPr>
                          <pic:cNvPr id="9218" name="Picture 3"/>
                          <pic:cNvPicPr>
                            <a:picLocks noChangeAspect="1" noChangeArrowheads="1"/>
                          </pic:cNvPicPr>
                        </pic:nvPicPr>
                        <pic:blipFill>
                          <a:blip r:embed="rId20" cstate="print"/>
                          <a:srcRect/>
                          <a:stretch>
                            <a:fillRect/>
                          </a:stretch>
                        </pic:blipFill>
                        <pic:spPr bwMode="auto">
                          <a:xfrm>
                            <a:off x="0" y="0"/>
                            <a:ext cx="2416341" cy="1877242"/>
                          </a:xfrm>
                          <a:prstGeom prst="rect">
                            <a:avLst/>
                          </a:prstGeom>
                          <a:noFill/>
                          <a:ln w="9525">
                            <a:noFill/>
                            <a:miter lim="800000"/>
                            <a:headEnd/>
                            <a:tailEnd/>
                          </a:ln>
                        </pic:spPr>
                      </pic:pic>
                    </a:graphicData>
                  </a:graphic>
                </wp:inline>
              </w:drawing>
            </w:r>
          </w:p>
          <w:p w:rsidR="00D67948" w:rsidRDefault="00D67948" w:rsidP="00D67948">
            <w:pPr>
              <w:pStyle w:val="Lgende"/>
              <w:jc w:val="center"/>
            </w:pPr>
            <w:bookmarkStart w:id="18" w:name="_Ref309315600"/>
            <w:r>
              <w:t xml:space="preserve">Figure </w:t>
            </w:r>
            <w:fldSimple w:instr=" SEQ Figure \* ARABIC ">
              <w:r w:rsidR="00DD6E13">
                <w:rPr>
                  <w:noProof/>
                </w:rPr>
                <w:t>9</w:t>
              </w:r>
            </w:fldSimple>
            <w:bookmarkEnd w:id="18"/>
            <w:r>
              <w:t xml:space="preserve"> Avec la technique de la médiane</w:t>
            </w:r>
          </w:p>
        </w:tc>
      </w:tr>
    </w:tbl>
    <w:p w:rsidR="001846D4" w:rsidRDefault="001846D4" w:rsidP="00C8348E">
      <w:pPr>
        <w:jc w:val="both"/>
      </w:pPr>
    </w:p>
    <w:p w:rsidR="00E216D4" w:rsidRDefault="00E216D4" w:rsidP="00E216D4">
      <w:pPr>
        <w:pStyle w:val="Titre2"/>
      </w:pPr>
      <w:r>
        <w:t>Résidus galactiques</w:t>
      </w:r>
    </w:p>
    <w:p w:rsidR="008F513F" w:rsidRDefault="00E216D4" w:rsidP="008F513F">
      <w:pPr>
        <w:jc w:val="both"/>
      </w:pPr>
      <w:r>
        <w:t xml:space="preserve">Avec l’ensemble des 500cycles correspondant à 5000sec effectives sur le Ciel (ON), on peut calculer </w:t>
      </w:r>
      <w:proofErr w:type="spellStart"/>
      <w:r>
        <w:t>run</w:t>
      </w:r>
      <w:proofErr w:type="spellEnd"/>
      <w:r>
        <w:t xml:space="preserve"> par </w:t>
      </w:r>
      <w:proofErr w:type="spellStart"/>
      <w:r>
        <w:t>run</w:t>
      </w:r>
      <w:proofErr w:type="spellEnd"/>
      <w:r>
        <w:t xml:space="preserve"> et cycle par cycle de la différence d’intensité calculée avec les données ON et données</w:t>
      </w:r>
      <w:r w:rsidR="008F513F">
        <w:t xml:space="preserve"> OFF</w:t>
      </w:r>
      <w:r>
        <w:t xml:space="preserve">. Uniquement les médianes déterminées par le traitement DATA ON/OFF sont utilisées sans filtrage fréquentiel, sauf pour la normalisation définie comme les spectres OFF lissés par un filtrage médian obtenus avec une largeur de 2.1MHz. </w:t>
      </w:r>
      <w:r w:rsidR="008F513F">
        <w:t xml:space="preserve">Cette procédure de normalisation remplace celle avec un spectre de GAIN unique par </w:t>
      </w:r>
      <w:proofErr w:type="spellStart"/>
      <w:r w:rsidR="008F513F">
        <w:t>run</w:t>
      </w:r>
      <w:proofErr w:type="spellEnd"/>
      <w:r w:rsidR="008F513F">
        <w:t xml:space="preserve">. Ensuite, la moyenne suivante est utilisée : </w:t>
      </w:r>
    </w:p>
    <w:tbl>
      <w:tblPr>
        <w:tblStyle w:val="Grilledutableau"/>
        <w:tblW w:w="0" w:type="auto"/>
        <w:tblLook w:val="04A0"/>
      </w:tblPr>
      <w:tblGrid>
        <w:gridCol w:w="8586"/>
      </w:tblGrid>
      <w:tr w:rsidR="008F513F" w:rsidTr="008F513F">
        <w:tc>
          <w:tcPr>
            <w:tcW w:w="0" w:type="auto"/>
            <w:vAlign w:val="center"/>
          </w:tcPr>
          <w:p w:rsidR="008F513F" w:rsidRDefault="008F513F" w:rsidP="008F513F">
            <w:pPr>
              <w:jc w:val="center"/>
            </w:pPr>
            <w:r w:rsidRPr="008F513F">
              <w:rPr>
                <w:noProof/>
                <w:lang w:eastAsia="fr-FR"/>
              </w:rPr>
              <w:drawing>
                <wp:inline distT="0" distB="0" distL="0" distR="0">
                  <wp:extent cx="5292725" cy="817245"/>
                  <wp:effectExtent l="19050" t="0" r="3175" b="0"/>
                  <wp:docPr id="8" name="Image 1"/>
                  <wp:cNvGraphicFramePr/>
                  <a:graphic xmlns:a="http://schemas.openxmlformats.org/drawingml/2006/main">
                    <a:graphicData uri="http://schemas.openxmlformats.org/drawingml/2006/picture">
                      <pic:pic xmlns:pic="http://schemas.openxmlformats.org/drawingml/2006/picture">
                        <pic:nvPicPr>
                          <pic:cNvPr id="10245" name="Picture 4"/>
                          <pic:cNvPicPr>
                            <a:picLocks noChangeAspect="1" noChangeArrowheads="1"/>
                          </pic:cNvPicPr>
                        </pic:nvPicPr>
                        <pic:blipFill>
                          <a:blip r:embed="rId21" cstate="print"/>
                          <a:srcRect/>
                          <a:stretch>
                            <a:fillRect/>
                          </a:stretch>
                        </pic:blipFill>
                        <pic:spPr bwMode="auto">
                          <a:xfrm>
                            <a:off x="0" y="0"/>
                            <a:ext cx="5292725" cy="817245"/>
                          </a:xfrm>
                          <a:prstGeom prst="rect">
                            <a:avLst/>
                          </a:prstGeom>
                          <a:noFill/>
                          <a:ln w="9525">
                            <a:noFill/>
                            <a:miter lim="800000"/>
                            <a:headEnd/>
                            <a:tailEnd/>
                          </a:ln>
                        </pic:spPr>
                      </pic:pic>
                    </a:graphicData>
                  </a:graphic>
                </wp:inline>
              </w:drawing>
            </w:r>
          </w:p>
        </w:tc>
      </w:tr>
    </w:tbl>
    <w:p w:rsidR="008F513F" w:rsidRPr="002E01C7" w:rsidRDefault="008F513F" w:rsidP="00C8348E">
      <w:pPr>
        <w:jc w:val="both"/>
      </w:pPr>
      <w:r>
        <w:t>Dans la formule ci-dessus « </w:t>
      </w:r>
      <w:r w:rsidRPr="008F513F">
        <w:rPr>
          <w:i/>
        </w:rPr>
        <w:t>c</w:t>
      </w:r>
      <w:r>
        <w:t> » et « </w:t>
      </w:r>
      <w:r w:rsidRPr="008F513F">
        <w:rPr>
          <w:i/>
        </w:rPr>
        <w:t>r</w:t>
      </w:r>
      <w:r>
        <w:t xml:space="preserve"> » indicent les cycles et les </w:t>
      </w:r>
      <w:proofErr w:type="spellStart"/>
      <w:r>
        <w:t>runs</w:t>
      </w:r>
      <w:proofErr w:type="spellEnd"/>
      <w:r>
        <w:t>, et « </w:t>
      </w:r>
      <w:r w:rsidRPr="008F513F">
        <w:rPr>
          <w:i/>
        </w:rPr>
        <w:t>f</w:t>
      </w:r>
      <w:r>
        <w:t> » indique le canal de fréquence. Le résultat de cette opération est présenté sur</w:t>
      </w:r>
      <w:r w:rsidR="0048302D">
        <w:t xml:space="preserve"> </w:t>
      </w:r>
      <w:r>
        <w:t xml:space="preserve"> </w:t>
      </w:r>
      <w:r w:rsidR="005A3F1B">
        <w:fldChar w:fldCharType="begin"/>
      </w:r>
      <w:r w:rsidR="0048302D">
        <w:instrText xml:space="preserve"> REF _Ref309323260 \h </w:instrText>
      </w:r>
      <w:r w:rsidR="005A3F1B">
        <w:fldChar w:fldCharType="separate"/>
      </w:r>
      <w:r w:rsidR="0048302D">
        <w:t xml:space="preserve">Figure </w:t>
      </w:r>
      <w:r w:rsidR="0048302D">
        <w:rPr>
          <w:noProof/>
        </w:rPr>
        <w:t>10</w:t>
      </w:r>
      <w:r w:rsidR="005A3F1B">
        <w:fldChar w:fldCharType="end"/>
      </w:r>
      <w:r w:rsidR="0048302D">
        <w:t>.</w:t>
      </w:r>
    </w:p>
    <w:tbl>
      <w:tblPr>
        <w:tblStyle w:val="Grilledutableau"/>
        <w:tblW w:w="0" w:type="auto"/>
        <w:tblLook w:val="04A0"/>
      </w:tblPr>
      <w:tblGrid>
        <w:gridCol w:w="8683"/>
      </w:tblGrid>
      <w:tr w:rsidR="008F513F" w:rsidTr="00EA2094">
        <w:tc>
          <w:tcPr>
            <w:tcW w:w="8683" w:type="dxa"/>
            <w:vAlign w:val="center"/>
          </w:tcPr>
          <w:p w:rsidR="00EA2094" w:rsidRDefault="008F513F" w:rsidP="00EA2094">
            <w:pPr>
              <w:keepNext/>
              <w:jc w:val="center"/>
            </w:pPr>
            <w:r w:rsidRPr="008F513F">
              <w:rPr>
                <w:noProof/>
                <w:lang w:eastAsia="fr-FR"/>
              </w:rPr>
              <w:lastRenderedPageBreak/>
              <w:drawing>
                <wp:inline distT="0" distB="0" distL="0" distR="0">
                  <wp:extent cx="4467860" cy="3777615"/>
                  <wp:effectExtent l="19050" t="0" r="8890" b="0"/>
                  <wp:docPr id="9" name="Image 4"/>
                  <wp:cNvGraphicFramePr/>
                  <a:graphic xmlns:a="http://schemas.openxmlformats.org/drawingml/2006/main">
                    <a:graphicData uri="http://schemas.openxmlformats.org/drawingml/2006/picture">
                      <pic:pic xmlns:pic="http://schemas.openxmlformats.org/drawingml/2006/picture">
                        <pic:nvPicPr>
                          <pic:cNvPr id="10242" name="Picture 2"/>
                          <pic:cNvPicPr>
                            <a:picLocks noChangeAspect="1" noChangeArrowheads="1"/>
                          </pic:cNvPicPr>
                        </pic:nvPicPr>
                        <pic:blipFill>
                          <a:blip r:embed="rId22" cstate="print"/>
                          <a:srcRect/>
                          <a:stretch>
                            <a:fillRect/>
                          </a:stretch>
                        </pic:blipFill>
                        <pic:spPr bwMode="auto">
                          <a:xfrm>
                            <a:off x="0" y="0"/>
                            <a:ext cx="4469482" cy="3778986"/>
                          </a:xfrm>
                          <a:prstGeom prst="rect">
                            <a:avLst/>
                          </a:prstGeom>
                          <a:noFill/>
                          <a:ln w="9525">
                            <a:noFill/>
                            <a:miter lim="800000"/>
                            <a:headEnd/>
                            <a:tailEnd/>
                          </a:ln>
                        </pic:spPr>
                      </pic:pic>
                    </a:graphicData>
                  </a:graphic>
                </wp:inline>
              </w:drawing>
            </w:r>
          </w:p>
          <w:p w:rsidR="008F513F" w:rsidRDefault="00EA2094" w:rsidP="003F1C5A">
            <w:pPr>
              <w:pStyle w:val="Lgende"/>
              <w:jc w:val="both"/>
            </w:pPr>
            <w:bookmarkStart w:id="19" w:name="_Ref309323260"/>
            <w:r>
              <w:t xml:space="preserve">Figure </w:t>
            </w:r>
            <w:fldSimple w:instr=" SEQ Figure \* ARABIC ">
              <w:r w:rsidR="00DD6E13">
                <w:rPr>
                  <w:noProof/>
                </w:rPr>
                <w:t>10</w:t>
              </w:r>
            </w:fldSimple>
            <w:bookmarkEnd w:id="19"/>
            <w:r>
              <w:t xml:space="preserve"> Spectre moyenné sur 500cycles  des différences ON-OFF normalisées par le OFF lissé du cycle courant (5000sec effective). La résolution en fréquence est de 30kHz. Les deux couleurs différencient les deux canaux/polarisations (bleu : </w:t>
            </w:r>
            <w:proofErr w:type="spellStart"/>
            <w:r>
              <w:t>Ch</w:t>
            </w:r>
            <w:proofErr w:type="spellEnd"/>
            <w:r>
              <w:t xml:space="preserve"> 0, rouge : </w:t>
            </w:r>
            <w:proofErr w:type="spellStart"/>
            <w:r>
              <w:t>Ch</w:t>
            </w:r>
            <w:proofErr w:type="spellEnd"/>
            <w:r>
              <w:t xml:space="preserve"> 1).</w:t>
            </w:r>
          </w:p>
        </w:tc>
      </w:tr>
    </w:tbl>
    <w:p w:rsidR="00E216D4" w:rsidRDefault="00E216D4" w:rsidP="00C8348E">
      <w:pPr>
        <w:jc w:val="both"/>
      </w:pPr>
    </w:p>
    <w:p w:rsidR="00EA2094" w:rsidRDefault="003F1C5A" w:rsidP="00C8348E">
      <w:pPr>
        <w:jc w:val="both"/>
      </w:pPr>
      <w:r>
        <w:t xml:space="preserve">Le zoom </w:t>
      </w:r>
      <w:r w:rsidR="00EA2094">
        <w:t xml:space="preserve">sur la zone </w:t>
      </w:r>
      <w:r>
        <w:t>protégée à Nançay à savoir la bande [1400-1427</w:t>
      </w:r>
      <w:proofErr w:type="gramStart"/>
      <w:r>
        <w:t>]MHz</w:t>
      </w:r>
      <w:proofErr w:type="gramEnd"/>
      <w:r>
        <w:t xml:space="preserve"> est présenté sur la</w:t>
      </w:r>
      <w:r w:rsidR="0028647E">
        <w:t xml:space="preserve"> </w:t>
      </w:r>
      <w:r w:rsidR="005A3F1B">
        <w:fldChar w:fldCharType="begin"/>
      </w:r>
      <w:r w:rsidR="0028647E">
        <w:instrText xml:space="preserve"> REF _Ref309323316 \h </w:instrText>
      </w:r>
      <w:r w:rsidR="005A3F1B">
        <w:fldChar w:fldCharType="separate"/>
      </w:r>
      <w:r w:rsidR="0028647E">
        <w:t xml:space="preserve">Figure </w:t>
      </w:r>
      <w:r w:rsidR="0028647E">
        <w:rPr>
          <w:noProof/>
        </w:rPr>
        <w:t>11</w:t>
      </w:r>
      <w:r w:rsidR="005A3F1B">
        <w:fldChar w:fldCharType="end"/>
      </w:r>
      <w:r w:rsidR="0028647E">
        <w:t xml:space="preserve">. On y voit le résidu de la différence entre l’intensité de la raie HI d’origine galactique reçue des zones pointées lors du ON et du OFF.  On remarque </w:t>
      </w:r>
      <w:proofErr w:type="gramStart"/>
      <w:r w:rsidR="0028647E">
        <w:t>qu’a</w:t>
      </w:r>
      <w:proofErr w:type="gramEnd"/>
      <w:r w:rsidR="0028647E">
        <w:t xml:space="preserve"> part cette raie, la zone est bien exempte de </w:t>
      </w:r>
      <w:proofErr w:type="spellStart"/>
      <w:r w:rsidR="0028647E">
        <w:t>RFIs</w:t>
      </w:r>
      <w:proofErr w:type="spellEnd"/>
      <w:r w:rsidR="0028647E">
        <w:t>.</w:t>
      </w:r>
    </w:p>
    <w:tbl>
      <w:tblPr>
        <w:tblStyle w:val="Grilledutableau"/>
        <w:tblW w:w="0" w:type="auto"/>
        <w:tblLook w:val="04A0"/>
      </w:tblPr>
      <w:tblGrid>
        <w:gridCol w:w="8683"/>
      </w:tblGrid>
      <w:tr w:rsidR="003F1C5A" w:rsidTr="003F1C5A">
        <w:tc>
          <w:tcPr>
            <w:tcW w:w="8683" w:type="dxa"/>
          </w:tcPr>
          <w:p w:rsidR="000F2D24" w:rsidRDefault="000F2D24" w:rsidP="000F2D24">
            <w:pPr>
              <w:keepNext/>
              <w:jc w:val="center"/>
            </w:pPr>
            <w:r w:rsidRPr="000F2D24">
              <w:rPr>
                <w:noProof/>
                <w:lang w:eastAsia="fr-FR"/>
              </w:rPr>
              <w:lastRenderedPageBreak/>
              <w:drawing>
                <wp:inline distT="0" distB="0" distL="0" distR="0">
                  <wp:extent cx="3278505" cy="3263265"/>
                  <wp:effectExtent l="19050" t="0" r="0" b="0"/>
                  <wp:docPr id="10"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66" name="Picture 2"/>
                          <pic:cNvPicPr preferRelativeResize="0">
                            <a:picLocks noChangeAspect="1" noChangeArrowheads="1"/>
                          </pic:cNvPicPr>
                        </pic:nvPicPr>
                        <pic:blipFill>
                          <a:blip r:embed="rId23" cstate="print"/>
                          <a:srcRect t="1533" b="1220"/>
                          <a:stretch>
                            <a:fillRect/>
                          </a:stretch>
                        </pic:blipFill>
                        <pic:spPr bwMode="auto">
                          <a:xfrm>
                            <a:off x="0" y="0"/>
                            <a:ext cx="3278505" cy="3263265"/>
                          </a:xfrm>
                          <a:prstGeom prst="rect">
                            <a:avLst/>
                          </a:prstGeom>
                          <a:noFill/>
                          <a:ln w="9525">
                            <a:noFill/>
                            <a:miter lim="800000"/>
                            <a:headEnd/>
                            <a:tailEnd/>
                          </a:ln>
                        </pic:spPr>
                      </pic:pic>
                    </a:graphicData>
                  </a:graphic>
                </wp:inline>
              </w:drawing>
            </w:r>
          </w:p>
          <w:p w:rsidR="003F1C5A" w:rsidRDefault="000F2D24" w:rsidP="000F2D24">
            <w:pPr>
              <w:pStyle w:val="Lgende"/>
              <w:jc w:val="center"/>
            </w:pPr>
            <w:bookmarkStart w:id="20" w:name="_Ref309323316"/>
            <w:r>
              <w:t xml:space="preserve">Figure </w:t>
            </w:r>
            <w:fldSimple w:instr=" SEQ Figure \* ARABIC ">
              <w:r w:rsidR="00DD6E13">
                <w:rPr>
                  <w:noProof/>
                </w:rPr>
                <w:t>11</w:t>
              </w:r>
            </w:fldSimple>
            <w:bookmarkEnd w:id="20"/>
            <w:r>
              <w:t xml:space="preserve"> Zoom sur la bande protégée à Nançay de la </w:t>
            </w:r>
            <w:r w:rsidR="005A3F1B">
              <w:fldChar w:fldCharType="begin"/>
            </w:r>
            <w:r>
              <w:instrText xml:space="preserve"> REF _Ref309323260 \h </w:instrText>
            </w:r>
            <w:r w:rsidR="005A3F1B">
              <w:fldChar w:fldCharType="separate"/>
            </w:r>
            <w:r>
              <w:t xml:space="preserve">Figure </w:t>
            </w:r>
            <w:r>
              <w:rPr>
                <w:noProof/>
              </w:rPr>
              <w:t>10</w:t>
            </w:r>
            <w:r w:rsidR="005A3F1B">
              <w:fldChar w:fldCharType="end"/>
            </w:r>
            <w:r>
              <w:t>.</w:t>
            </w:r>
          </w:p>
        </w:tc>
      </w:tr>
    </w:tbl>
    <w:p w:rsidR="003F1C5A" w:rsidRDefault="003F1C5A" w:rsidP="00C8348E">
      <w:pPr>
        <w:jc w:val="both"/>
      </w:pPr>
    </w:p>
    <w:p w:rsidR="000638EE" w:rsidRDefault="000638EE" w:rsidP="000638EE">
      <w:pPr>
        <w:pStyle w:val="Titre2"/>
      </w:pPr>
      <w:r>
        <w:t>Stabilité</w:t>
      </w:r>
    </w:p>
    <w:p w:rsidR="003C0EFE" w:rsidRDefault="000638EE" w:rsidP="00C8348E">
      <w:pPr>
        <w:jc w:val="both"/>
      </w:pPr>
      <w:r>
        <w:t>La</w:t>
      </w:r>
      <w:r w:rsidR="003C0EFE">
        <w:t xml:space="preserve"> raie </w:t>
      </w:r>
      <w:r>
        <w:t xml:space="preserve">à 1420MHz </w:t>
      </w:r>
      <w:r w:rsidR="003C0EFE">
        <w:t xml:space="preserve">résiduelle peut être utilisée pour suivre la stabilité des prises de données. </w:t>
      </w:r>
      <w:r w:rsidR="007964A6">
        <w:t>En particulier en moyennant l’intensité sur les deux bandes [1418,1419</w:t>
      </w:r>
      <w:proofErr w:type="gramStart"/>
      <w:r w:rsidR="007964A6">
        <w:t>]MHz</w:t>
      </w:r>
      <w:proofErr w:type="gramEnd"/>
      <w:r w:rsidR="007964A6">
        <w:t xml:space="preserve"> et [1422,1423]MHz on suit la ligne de base de part et d’autre de la raie. Le résultat </w:t>
      </w:r>
      <w:r w:rsidR="007F771A">
        <w:t xml:space="preserve">pour les deux polarisations/canaux </w:t>
      </w:r>
      <w:r w:rsidR="007964A6">
        <w:t>est donné sur</w:t>
      </w:r>
      <w:r w:rsidR="007F771A">
        <w:t xml:space="preserve"> </w:t>
      </w:r>
      <w:r w:rsidR="005A3F1B">
        <w:fldChar w:fldCharType="begin"/>
      </w:r>
      <w:r w:rsidR="007F771A">
        <w:instrText xml:space="preserve"> REF _Ref309324587 \h </w:instrText>
      </w:r>
      <w:r w:rsidR="005A3F1B">
        <w:fldChar w:fldCharType="separate"/>
      </w:r>
      <w:r w:rsidR="007F771A">
        <w:t xml:space="preserve">Figure </w:t>
      </w:r>
      <w:r w:rsidR="007F771A">
        <w:rPr>
          <w:noProof/>
        </w:rPr>
        <w:t>12</w:t>
      </w:r>
      <w:r w:rsidR="005A3F1B">
        <w:fldChar w:fldCharType="end"/>
      </w:r>
      <w:r w:rsidR="007F771A">
        <w:t xml:space="preserve"> sur l’ensemble des 500cycles, tandis que  l’histogramme des valeurs est donné sur  </w:t>
      </w:r>
      <w:r w:rsidR="005A3F1B">
        <w:fldChar w:fldCharType="begin"/>
      </w:r>
      <w:r w:rsidR="005C5098">
        <w:instrText xml:space="preserve"> REF _Ref309324989 \h </w:instrText>
      </w:r>
      <w:r w:rsidR="005A3F1B">
        <w:fldChar w:fldCharType="separate"/>
      </w:r>
      <w:r w:rsidR="005C5098">
        <w:t xml:space="preserve">Figure </w:t>
      </w:r>
      <w:r w:rsidR="005C5098">
        <w:rPr>
          <w:noProof/>
        </w:rPr>
        <w:t>13</w:t>
      </w:r>
      <w:r w:rsidR="005A3F1B">
        <w:fldChar w:fldCharType="end"/>
      </w:r>
      <w:r w:rsidR="005C5098">
        <w:t>.</w:t>
      </w:r>
      <w:r w:rsidR="008956CE">
        <w:t xml:space="preserve"> </w:t>
      </w:r>
    </w:p>
    <w:tbl>
      <w:tblPr>
        <w:tblStyle w:val="Grilledutableau"/>
        <w:tblW w:w="0" w:type="auto"/>
        <w:tblLook w:val="04A0"/>
      </w:tblPr>
      <w:tblGrid>
        <w:gridCol w:w="3946"/>
        <w:gridCol w:w="4813"/>
      </w:tblGrid>
      <w:tr w:rsidR="005C5098" w:rsidTr="00624DCA">
        <w:tc>
          <w:tcPr>
            <w:tcW w:w="3946" w:type="dxa"/>
            <w:vAlign w:val="center"/>
          </w:tcPr>
          <w:p w:rsidR="005C5098" w:rsidRDefault="005C5098" w:rsidP="007F771A">
            <w:pPr>
              <w:keepNext/>
              <w:jc w:val="center"/>
            </w:pPr>
            <w:r>
              <w:rPr>
                <w:noProof/>
                <w:lang w:eastAsia="fr-FR"/>
              </w:rPr>
              <w:drawing>
                <wp:inline distT="0" distB="0" distL="0" distR="0">
                  <wp:extent cx="2406894" cy="2571750"/>
                  <wp:effectExtent l="19050" t="0" r="0" b="0"/>
                  <wp:docPr id="15"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4" cstate="print"/>
                          <a:srcRect/>
                          <a:stretch>
                            <a:fillRect/>
                          </a:stretch>
                        </pic:blipFill>
                        <pic:spPr bwMode="auto">
                          <a:xfrm>
                            <a:off x="0" y="0"/>
                            <a:ext cx="2408981" cy="2573980"/>
                          </a:xfrm>
                          <a:prstGeom prst="rect">
                            <a:avLst/>
                          </a:prstGeom>
                          <a:noFill/>
                          <a:ln w="9525">
                            <a:noFill/>
                            <a:miter lim="800000"/>
                            <a:headEnd/>
                            <a:tailEnd/>
                          </a:ln>
                        </pic:spPr>
                      </pic:pic>
                    </a:graphicData>
                  </a:graphic>
                </wp:inline>
              </w:drawing>
            </w:r>
          </w:p>
          <w:p w:rsidR="005C5098" w:rsidRDefault="005C5098" w:rsidP="005C5098">
            <w:pPr>
              <w:pStyle w:val="Lgende"/>
            </w:pPr>
            <w:bookmarkStart w:id="21" w:name="_Ref309324587"/>
            <w:r>
              <w:t xml:space="preserve">Figure </w:t>
            </w:r>
            <w:fldSimple w:instr=" SEQ Figure \* ARABIC ">
              <w:r w:rsidR="00DD6E13">
                <w:rPr>
                  <w:noProof/>
                </w:rPr>
                <w:t>12</w:t>
              </w:r>
            </w:fldSimple>
            <w:bookmarkEnd w:id="21"/>
            <w:r>
              <w:t xml:space="preserve"> Evolution de la ligne de base autour de la raie HI résiduelle.</w:t>
            </w:r>
          </w:p>
        </w:tc>
        <w:tc>
          <w:tcPr>
            <w:tcW w:w="4813" w:type="dxa"/>
          </w:tcPr>
          <w:p w:rsidR="005C5098" w:rsidRDefault="005C5098" w:rsidP="005C5098">
            <w:pPr>
              <w:keepNext/>
              <w:jc w:val="center"/>
            </w:pPr>
            <w:r>
              <w:rPr>
                <w:noProof/>
                <w:lang w:eastAsia="fr-FR"/>
              </w:rPr>
              <w:drawing>
                <wp:inline distT="0" distB="0" distL="0" distR="0">
                  <wp:extent cx="2971800" cy="2868930"/>
                  <wp:effectExtent l="19050" t="0" r="0" b="0"/>
                  <wp:docPr id="16"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5" cstate="print"/>
                          <a:srcRect/>
                          <a:stretch>
                            <a:fillRect/>
                          </a:stretch>
                        </pic:blipFill>
                        <pic:spPr bwMode="auto">
                          <a:xfrm>
                            <a:off x="0" y="0"/>
                            <a:ext cx="2971800" cy="2868930"/>
                          </a:xfrm>
                          <a:prstGeom prst="rect">
                            <a:avLst/>
                          </a:prstGeom>
                          <a:noFill/>
                          <a:ln w="9525">
                            <a:noFill/>
                            <a:miter lim="800000"/>
                            <a:headEnd/>
                            <a:tailEnd/>
                          </a:ln>
                        </pic:spPr>
                      </pic:pic>
                    </a:graphicData>
                  </a:graphic>
                </wp:inline>
              </w:drawing>
            </w:r>
          </w:p>
          <w:p w:rsidR="005C5098" w:rsidRDefault="005C5098" w:rsidP="005C5098">
            <w:pPr>
              <w:pStyle w:val="Lgende"/>
              <w:jc w:val="center"/>
              <w:rPr>
                <w:noProof/>
                <w:lang w:eastAsia="fr-FR"/>
              </w:rPr>
            </w:pPr>
            <w:bookmarkStart w:id="22" w:name="_Ref309324989"/>
            <w:r>
              <w:t xml:space="preserve">Figure </w:t>
            </w:r>
            <w:fldSimple w:instr=" SEQ Figure \* ARABIC ">
              <w:r w:rsidR="00DD6E13">
                <w:rPr>
                  <w:noProof/>
                </w:rPr>
                <w:t>13</w:t>
              </w:r>
            </w:fldSimple>
            <w:bookmarkEnd w:id="22"/>
            <w:r>
              <w:t xml:space="preserve"> Histogramme des valeurs de la </w:t>
            </w:r>
            <w:r w:rsidR="005A3F1B">
              <w:fldChar w:fldCharType="begin"/>
            </w:r>
            <w:r>
              <w:instrText xml:space="preserve"> REF _Ref309324587 \h </w:instrText>
            </w:r>
            <w:r w:rsidR="005A3F1B">
              <w:fldChar w:fldCharType="separate"/>
            </w:r>
            <w:r>
              <w:t xml:space="preserve">Figure </w:t>
            </w:r>
            <w:r>
              <w:rPr>
                <w:noProof/>
              </w:rPr>
              <w:t>12</w:t>
            </w:r>
            <w:r w:rsidR="005A3F1B">
              <w:fldChar w:fldCharType="end"/>
            </w:r>
            <w:r w:rsidR="008956CE">
              <w:t>.</w:t>
            </w:r>
          </w:p>
        </w:tc>
      </w:tr>
    </w:tbl>
    <w:p w:rsidR="003C0EFE" w:rsidRDefault="00624DCA" w:rsidP="00C8348E">
      <w:pPr>
        <w:jc w:val="both"/>
      </w:pPr>
      <w:r>
        <w:t xml:space="preserve">On note que la prise de données est bien stable alors qu’aucune calibration n’a été appliquée. </w:t>
      </w:r>
      <w:r w:rsidR="007C4F78">
        <w:t>A ce propos</w:t>
      </w:r>
      <w:r w:rsidR="009445F1">
        <w:t xml:space="preserve">, les </w:t>
      </w:r>
      <w:r w:rsidR="007C4F78">
        <w:t xml:space="preserve"> </w:t>
      </w:r>
      <w:r w:rsidR="005A3F1B">
        <w:fldChar w:fldCharType="begin"/>
      </w:r>
      <w:r w:rsidR="007C4F78">
        <w:instrText xml:space="preserve"> REF _Ref309326265 \h </w:instrText>
      </w:r>
      <w:r w:rsidR="005A3F1B">
        <w:fldChar w:fldCharType="separate"/>
      </w:r>
      <w:r w:rsidR="007C4F78">
        <w:t xml:space="preserve">Figure </w:t>
      </w:r>
      <w:r w:rsidR="007C4F78">
        <w:rPr>
          <w:noProof/>
        </w:rPr>
        <w:t>14</w:t>
      </w:r>
      <w:r w:rsidR="005A3F1B">
        <w:fldChar w:fldCharType="end"/>
      </w:r>
      <w:r w:rsidR="009445F1">
        <w:t>,</w:t>
      </w:r>
      <w:r w:rsidR="007C4F78">
        <w:t xml:space="preserve"> </w:t>
      </w:r>
      <w:r w:rsidR="005A3F1B">
        <w:fldChar w:fldCharType="begin"/>
      </w:r>
      <w:r w:rsidR="007C4F78">
        <w:instrText xml:space="preserve"> REF _Ref309326299 \h </w:instrText>
      </w:r>
      <w:r w:rsidR="005A3F1B">
        <w:fldChar w:fldCharType="separate"/>
      </w:r>
      <w:r w:rsidR="007C4F78">
        <w:t xml:space="preserve">Figure </w:t>
      </w:r>
      <w:r w:rsidR="007C4F78">
        <w:rPr>
          <w:noProof/>
        </w:rPr>
        <w:t>15</w:t>
      </w:r>
      <w:r w:rsidR="005A3F1B">
        <w:fldChar w:fldCharType="end"/>
      </w:r>
      <w:r w:rsidR="009445F1">
        <w:t xml:space="preserve"> et </w:t>
      </w:r>
      <w:r w:rsidR="005A3F1B">
        <w:fldChar w:fldCharType="begin"/>
      </w:r>
      <w:r w:rsidR="009445F1">
        <w:instrText xml:space="preserve"> REF _Ref309372773 \h </w:instrText>
      </w:r>
      <w:r w:rsidR="005A3F1B">
        <w:fldChar w:fldCharType="separate"/>
      </w:r>
      <w:r w:rsidR="009445F1">
        <w:t xml:space="preserve">Figure </w:t>
      </w:r>
      <w:r w:rsidR="009445F1">
        <w:rPr>
          <w:noProof/>
        </w:rPr>
        <w:t>16</w:t>
      </w:r>
      <w:r w:rsidR="005A3F1B">
        <w:fldChar w:fldCharType="end"/>
      </w:r>
      <w:r w:rsidR="007C4F78">
        <w:t xml:space="preserve"> </w:t>
      </w:r>
      <w:r>
        <w:t xml:space="preserve">présentent la même évolution avec l’application des coefficients de calibration moyennés </w:t>
      </w:r>
      <w:proofErr w:type="spellStart"/>
      <w:r>
        <w:t>run</w:t>
      </w:r>
      <w:proofErr w:type="spellEnd"/>
      <w:r>
        <w:t xml:space="preserve"> par </w:t>
      </w:r>
      <w:proofErr w:type="spellStart"/>
      <w:r>
        <w:t>run</w:t>
      </w:r>
      <w:proofErr w:type="spellEnd"/>
      <w:r>
        <w:t xml:space="preserve">, ou bien variant tout au long des cycles. </w:t>
      </w:r>
    </w:p>
    <w:tbl>
      <w:tblPr>
        <w:tblStyle w:val="Grilledutableau"/>
        <w:tblW w:w="0" w:type="auto"/>
        <w:tblLook w:val="04A0"/>
      </w:tblPr>
      <w:tblGrid>
        <w:gridCol w:w="4341"/>
        <w:gridCol w:w="4342"/>
      </w:tblGrid>
      <w:tr w:rsidR="00624DCA" w:rsidTr="00624DCA">
        <w:tc>
          <w:tcPr>
            <w:tcW w:w="4341" w:type="dxa"/>
          </w:tcPr>
          <w:p w:rsidR="00624DCA" w:rsidRDefault="00624DCA" w:rsidP="00624DCA">
            <w:pPr>
              <w:keepNext/>
              <w:jc w:val="center"/>
            </w:pPr>
            <w:r>
              <w:rPr>
                <w:noProof/>
                <w:lang w:eastAsia="fr-FR"/>
              </w:rPr>
              <w:lastRenderedPageBreak/>
              <w:drawing>
                <wp:inline distT="0" distB="0" distL="0" distR="0">
                  <wp:extent cx="2234565" cy="2294573"/>
                  <wp:effectExtent l="19050" t="0" r="0"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6" cstate="print"/>
                          <a:srcRect/>
                          <a:stretch>
                            <a:fillRect/>
                          </a:stretch>
                        </pic:blipFill>
                        <pic:spPr bwMode="auto">
                          <a:xfrm>
                            <a:off x="0" y="0"/>
                            <a:ext cx="2234565" cy="2294573"/>
                          </a:xfrm>
                          <a:prstGeom prst="rect">
                            <a:avLst/>
                          </a:prstGeom>
                          <a:noFill/>
                          <a:ln w="9525">
                            <a:noFill/>
                            <a:miter lim="800000"/>
                            <a:headEnd/>
                            <a:tailEnd/>
                          </a:ln>
                        </pic:spPr>
                      </pic:pic>
                    </a:graphicData>
                  </a:graphic>
                </wp:inline>
              </w:drawing>
            </w:r>
          </w:p>
          <w:p w:rsidR="00624DCA" w:rsidRDefault="00624DCA" w:rsidP="00624DCA">
            <w:pPr>
              <w:pStyle w:val="Lgende"/>
            </w:pPr>
            <w:bookmarkStart w:id="23" w:name="_Ref309326265"/>
            <w:r>
              <w:t xml:space="preserve">Figure </w:t>
            </w:r>
            <w:fldSimple w:instr=" SEQ Figure \* ARABIC ">
              <w:r w:rsidR="00DD6E13">
                <w:rPr>
                  <w:noProof/>
                </w:rPr>
                <w:t>14</w:t>
              </w:r>
            </w:fldSimple>
            <w:bookmarkEnd w:id="23"/>
            <w:r>
              <w:t xml:space="preserve"> Evolution identique à la </w:t>
            </w:r>
            <w:fldSimple w:instr=" REF _Ref309324587 \h  \* MERGEFORMAT ">
              <w:r>
                <w:t xml:space="preserve">Figure </w:t>
              </w:r>
              <w:r>
                <w:rPr>
                  <w:noProof/>
                </w:rPr>
                <w:t>12</w:t>
              </w:r>
            </w:fldSimple>
            <w:r>
              <w:t xml:space="preserve"> (même échelle) avec une calibration définie </w:t>
            </w:r>
            <w:proofErr w:type="spellStart"/>
            <w:r>
              <w:t>run</w:t>
            </w:r>
            <w:proofErr w:type="spellEnd"/>
            <w:r>
              <w:t xml:space="preserve"> par </w:t>
            </w:r>
            <w:proofErr w:type="spellStart"/>
            <w:r>
              <w:t>run</w:t>
            </w:r>
            <w:proofErr w:type="spellEnd"/>
            <w:r>
              <w:t>.</w:t>
            </w:r>
          </w:p>
        </w:tc>
        <w:tc>
          <w:tcPr>
            <w:tcW w:w="4342" w:type="dxa"/>
          </w:tcPr>
          <w:p w:rsidR="00624DCA" w:rsidRDefault="00624DCA" w:rsidP="00624DCA">
            <w:pPr>
              <w:keepNext/>
              <w:jc w:val="center"/>
            </w:pPr>
            <w:r>
              <w:rPr>
                <w:noProof/>
                <w:lang w:eastAsia="fr-FR"/>
              </w:rPr>
              <w:drawing>
                <wp:inline distT="0" distB="0" distL="0" distR="0">
                  <wp:extent cx="2154555" cy="2314575"/>
                  <wp:effectExtent l="19050" t="0" r="0" b="0"/>
                  <wp:docPr id="17"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cstate="print"/>
                          <a:srcRect/>
                          <a:stretch>
                            <a:fillRect/>
                          </a:stretch>
                        </pic:blipFill>
                        <pic:spPr bwMode="auto">
                          <a:xfrm>
                            <a:off x="0" y="0"/>
                            <a:ext cx="2154555" cy="2314575"/>
                          </a:xfrm>
                          <a:prstGeom prst="rect">
                            <a:avLst/>
                          </a:prstGeom>
                          <a:noFill/>
                          <a:ln w="9525">
                            <a:noFill/>
                            <a:miter lim="800000"/>
                            <a:headEnd/>
                            <a:tailEnd/>
                          </a:ln>
                        </pic:spPr>
                      </pic:pic>
                    </a:graphicData>
                  </a:graphic>
                </wp:inline>
              </w:drawing>
            </w:r>
          </w:p>
          <w:p w:rsidR="00624DCA" w:rsidRDefault="00624DCA" w:rsidP="00624DCA">
            <w:pPr>
              <w:pStyle w:val="Lgende"/>
            </w:pPr>
            <w:bookmarkStart w:id="24" w:name="_Ref309326299"/>
            <w:r>
              <w:t xml:space="preserve">Figure </w:t>
            </w:r>
            <w:fldSimple w:instr=" SEQ Figure \* ARABIC ">
              <w:r w:rsidR="00DD6E13">
                <w:rPr>
                  <w:noProof/>
                </w:rPr>
                <w:t>15</w:t>
              </w:r>
            </w:fldSimple>
            <w:bookmarkEnd w:id="24"/>
            <w:r w:rsidR="007C4F78">
              <w:t xml:space="preserve"> Identique à </w:t>
            </w:r>
            <w:r w:rsidR="005A3F1B">
              <w:fldChar w:fldCharType="begin"/>
            </w:r>
            <w:r w:rsidR="007C4F78">
              <w:instrText xml:space="preserve"> REF _Ref309326265 \h </w:instrText>
            </w:r>
            <w:r w:rsidR="005A3F1B">
              <w:fldChar w:fldCharType="separate"/>
            </w:r>
            <w:r w:rsidR="007C4F78">
              <w:t xml:space="preserve">Figure </w:t>
            </w:r>
            <w:r w:rsidR="007C4F78">
              <w:rPr>
                <w:noProof/>
              </w:rPr>
              <w:t>14</w:t>
            </w:r>
            <w:r w:rsidR="005A3F1B">
              <w:fldChar w:fldCharType="end"/>
            </w:r>
            <w:r>
              <w:t xml:space="preserve"> avec une calibration évoluant selon le cycle</w:t>
            </w:r>
            <w:r w:rsidR="009445F1">
              <w:t xml:space="preserve"> (on garde la même échelle verticale par comparaison).</w:t>
            </w:r>
          </w:p>
        </w:tc>
      </w:tr>
    </w:tbl>
    <w:p w:rsidR="00624DCA" w:rsidRDefault="00624DCA" w:rsidP="00C8348E">
      <w:pPr>
        <w:jc w:val="both"/>
      </w:pPr>
    </w:p>
    <w:p w:rsidR="009445F1" w:rsidRDefault="009445F1" w:rsidP="00C8348E">
      <w:pPr>
        <w:jc w:val="both"/>
      </w:pPr>
      <w:r>
        <w:t>Cette calibration utilisant la DAB n’est pas satisfaisante.</w:t>
      </w:r>
    </w:p>
    <w:tbl>
      <w:tblPr>
        <w:tblStyle w:val="Grilledutableau"/>
        <w:tblW w:w="0" w:type="auto"/>
        <w:tblLook w:val="04A0"/>
      </w:tblPr>
      <w:tblGrid>
        <w:gridCol w:w="8683"/>
      </w:tblGrid>
      <w:tr w:rsidR="009445F1" w:rsidTr="009445F1">
        <w:tc>
          <w:tcPr>
            <w:tcW w:w="8683" w:type="dxa"/>
          </w:tcPr>
          <w:p w:rsidR="009445F1" w:rsidRDefault="009445F1" w:rsidP="009445F1">
            <w:pPr>
              <w:keepNext/>
              <w:jc w:val="center"/>
            </w:pPr>
            <w:r>
              <w:rPr>
                <w:noProof/>
                <w:lang w:eastAsia="fr-FR"/>
              </w:rPr>
              <w:drawing>
                <wp:inline distT="0" distB="0" distL="0" distR="0">
                  <wp:extent cx="3114675" cy="3288983"/>
                  <wp:effectExtent l="19050" t="0" r="9525" b="0"/>
                  <wp:docPr id="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srcRect/>
                          <a:stretch>
                            <a:fillRect/>
                          </a:stretch>
                        </pic:blipFill>
                        <pic:spPr bwMode="auto">
                          <a:xfrm>
                            <a:off x="0" y="0"/>
                            <a:ext cx="3114675" cy="3288983"/>
                          </a:xfrm>
                          <a:prstGeom prst="rect">
                            <a:avLst/>
                          </a:prstGeom>
                          <a:noFill/>
                          <a:ln w="9525">
                            <a:noFill/>
                            <a:miter lim="800000"/>
                            <a:headEnd/>
                            <a:tailEnd/>
                          </a:ln>
                        </pic:spPr>
                      </pic:pic>
                    </a:graphicData>
                  </a:graphic>
                </wp:inline>
              </w:drawing>
            </w:r>
          </w:p>
          <w:p w:rsidR="009445F1" w:rsidRDefault="009445F1" w:rsidP="009445F1">
            <w:pPr>
              <w:pStyle w:val="Lgende"/>
              <w:jc w:val="center"/>
            </w:pPr>
            <w:bookmarkStart w:id="25" w:name="_Ref309372773"/>
            <w:r>
              <w:t xml:space="preserve">Figure </w:t>
            </w:r>
            <w:fldSimple w:instr=" SEQ Figure \* ARABIC ">
              <w:r w:rsidR="00DD6E13">
                <w:rPr>
                  <w:noProof/>
                </w:rPr>
                <w:t>16</w:t>
              </w:r>
            </w:fldSimple>
            <w:bookmarkEnd w:id="25"/>
            <w:r>
              <w:t xml:space="preserve"> Identique à la </w:t>
            </w:r>
            <w:r w:rsidR="005A3F1B">
              <w:fldChar w:fldCharType="begin"/>
            </w:r>
            <w:r>
              <w:instrText xml:space="preserve"> REF _Ref309326299 \h </w:instrText>
            </w:r>
            <w:r w:rsidR="005A3F1B">
              <w:fldChar w:fldCharType="separate"/>
            </w:r>
            <w:r>
              <w:t xml:space="preserve">Figure </w:t>
            </w:r>
            <w:r>
              <w:rPr>
                <w:noProof/>
              </w:rPr>
              <w:t>15</w:t>
            </w:r>
            <w:r w:rsidR="005A3F1B">
              <w:fldChar w:fldCharType="end"/>
            </w:r>
            <w:r>
              <w:t xml:space="preserve"> cette fois en laissant libre l'échelle verticale.</w:t>
            </w:r>
          </w:p>
        </w:tc>
      </w:tr>
    </w:tbl>
    <w:p w:rsidR="009445F1" w:rsidRDefault="009445F1" w:rsidP="00C8348E">
      <w:pPr>
        <w:jc w:val="both"/>
      </w:pPr>
    </w:p>
    <w:p w:rsidR="00624DCA" w:rsidRDefault="009445F1" w:rsidP="00C8348E">
      <w:pPr>
        <w:jc w:val="both"/>
      </w:pPr>
      <w:r>
        <w:t>En s</w:t>
      </w:r>
      <w:r w:rsidR="00624DCA">
        <w:t>oustrayant la</w:t>
      </w:r>
      <w:r>
        <w:t xml:space="preserve"> ligne de base sur la bande</w:t>
      </w:r>
      <w:r w:rsidR="007C4F78">
        <w:t xml:space="preserve"> [1420.2, 1420.6</w:t>
      </w:r>
      <w:proofErr w:type="gramStart"/>
      <w:r w:rsidR="007C4F78">
        <w:t>]MHz</w:t>
      </w:r>
      <w:proofErr w:type="gramEnd"/>
      <w:r>
        <w:t>,</w:t>
      </w:r>
      <w:r w:rsidR="007C4F78">
        <w:t xml:space="preserve"> on peut obtenir l’intensité de </w:t>
      </w:r>
      <w:r w:rsidR="0096658A">
        <w:t>la raie et suivre son évolution au cours de</w:t>
      </w:r>
      <w:r>
        <w:t>s</w:t>
      </w:r>
      <w:r w:rsidR="0096658A">
        <w:t xml:space="preserve"> cycles</w:t>
      </w:r>
      <w:r>
        <w:t xml:space="preserve"> (</w:t>
      </w:r>
      <w:r w:rsidR="005A3F1B">
        <w:fldChar w:fldCharType="begin"/>
      </w:r>
      <w:r>
        <w:instrText xml:space="preserve"> REF _Ref309326382 \h </w:instrText>
      </w:r>
      <w:r w:rsidR="005A3F1B">
        <w:fldChar w:fldCharType="separate"/>
      </w:r>
      <w:r>
        <w:t xml:space="preserve">Figure </w:t>
      </w:r>
      <w:r>
        <w:rPr>
          <w:noProof/>
        </w:rPr>
        <w:t>17</w:t>
      </w:r>
      <w:r w:rsidR="005A3F1B">
        <w:fldChar w:fldCharType="end"/>
      </w:r>
      <w:r>
        <w:t>)</w:t>
      </w:r>
      <w:r w:rsidR="0096658A">
        <w:t>. On note la</w:t>
      </w:r>
      <w:r w:rsidR="004D5A5A">
        <w:t xml:space="preserve"> même stabilité que pour la ligne de base (</w:t>
      </w:r>
      <w:r w:rsidR="005A3F1B">
        <w:fldChar w:fldCharType="begin"/>
      </w:r>
      <w:r w:rsidR="004D5A5A">
        <w:instrText xml:space="preserve"> REF _Ref309324587 \h </w:instrText>
      </w:r>
      <w:r w:rsidR="005A3F1B">
        <w:fldChar w:fldCharType="separate"/>
      </w:r>
      <w:r w:rsidR="004D5A5A">
        <w:t xml:space="preserve">Figure </w:t>
      </w:r>
      <w:r w:rsidR="004D5A5A">
        <w:rPr>
          <w:noProof/>
        </w:rPr>
        <w:t>12</w:t>
      </w:r>
      <w:r w:rsidR="005A3F1B">
        <w:fldChar w:fldCharType="end"/>
      </w:r>
      <w:r w:rsidR="004D5A5A">
        <w:t>)</w:t>
      </w:r>
      <w:r w:rsidR="0096658A">
        <w:t>. A noter que l’influence des calibrations est moins nette quan</w:t>
      </w:r>
      <w:r w:rsidR="00965143">
        <w:t xml:space="preserve">d on soustrait la ligne de base ce qui </w:t>
      </w:r>
      <w:r w:rsidR="004D5A5A">
        <w:t xml:space="preserve">masque </w:t>
      </w:r>
      <w:r w:rsidR="00965143">
        <w:t>l’influence des variations des coefficients de calibrations…</w:t>
      </w:r>
    </w:p>
    <w:tbl>
      <w:tblPr>
        <w:tblStyle w:val="Grilledutableau"/>
        <w:tblW w:w="0" w:type="auto"/>
        <w:tblLook w:val="04A0"/>
      </w:tblPr>
      <w:tblGrid>
        <w:gridCol w:w="4341"/>
        <w:gridCol w:w="4342"/>
      </w:tblGrid>
      <w:tr w:rsidR="007C4F78" w:rsidTr="007C4F78">
        <w:tc>
          <w:tcPr>
            <w:tcW w:w="4341" w:type="dxa"/>
          </w:tcPr>
          <w:p w:rsidR="0096658A" w:rsidRDefault="007C4F78" w:rsidP="0096658A">
            <w:pPr>
              <w:keepNext/>
              <w:jc w:val="center"/>
            </w:pPr>
            <w:r>
              <w:rPr>
                <w:noProof/>
                <w:lang w:eastAsia="fr-FR"/>
              </w:rPr>
              <w:lastRenderedPageBreak/>
              <w:drawing>
                <wp:inline distT="0" distB="0" distL="0" distR="0">
                  <wp:extent cx="2300288" cy="2171700"/>
                  <wp:effectExtent l="19050" t="0" r="4762" b="0"/>
                  <wp:docPr id="18"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cstate="print"/>
                          <a:srcRect/>
                          <a:stretch>
                            <a:fillRect/>
                          </a:stretch>
                        </pic:blipFill>
                        <pic:spPr bwMode="auto">
                          <a:xfrm>
                            <a:off x="0" y="0"/>
                            <a:ext cx="2300288" cy="2171700"/>
                          </a:xfrm>
                          <a:prstGeom prst="rect">
                            <a:avLst/>
                          </a:prstGeom>
                          <a:noFill/>
                          <a:ln w="9525">
                            <a:noFill/>
                            <a:miter lim="800000"/>
                            <a:headEnd/>
                            <a:tailEnd/>
                          </a:ln>
                        </pic:spPr>
                      </pic:pic>
                    </a:graphicData>
                  </a:graphic>
                </wp:inline>
              </w:drawing>
            </w:r>
          </w:p>
          <w:p w:rsidR="007C4F78" w:rsidRDefault="0096658A" w:rsidP="0096658A">
            <w:pPr>
              <w:pStyle w:val="Lgende"/>
            </w:pPr>
            <w:bookmarkStart w:id="26" w:name="_Ref309326382"/>
            <w:r>
              <w:t xml:space="preserve">Figure </w:t>
            </w:r>
            <w:fldSimple w:instr=" SEQ Figure \* ARABIC ">
              <w:r w:rsidR="00DD6E13">
                <w:rPr>
                  <w:noProof/>
                </w:rPr>
                <w:t>17</w:t>
              </w:r>
            </w:fldSimple>
            <w:bookmarkEnd w:id="26"/>
            <w:r>
              <w:t xml:space="preserve"> Evolution de l'intensité de la raie HI résiduelle.</w:t>
            </w:r>
          </w:p>
        </w:tc>
        <w:tc>
          <w:tcPr>
            <w:tcW w:w="4342" w:type="dxa"/>
          </w:tcPr>
          <w:p w:rsidR="0096658A" w:rsidRDefault="007C4F78" w:rsidP="0096658A">
            <w:pPr>
              <w:keepNext/>
              <w:jc w:val="center"/>
            </w:pPr>
            <w:r>
              <w:rPr>
                <w:noProof/>
                <w:lang w:eastAsia="fr-FR"/>
              </w:rPr>
              <w:drawing>
                <wp:inline distT="0" distB="0" distL="0" distR="0">
                  <wp:extent cx="2288858" cy="2103120"/>
                  <wp:effectExtent l="19050" t="0" r="0" b="0"/>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0" cstate="print"/>
                          <a:srcRect/>
                          <a:stretch>
                            <a:fillRect/>
                          </a:stretch>
                        </pic:blipFill>
                        <pic:spPr bwMode="auto">
                          <a:xfrm>
                            <a:off x="0" y="0"/>
                            <a:ext cx="2288858" cy="2103120"/>
                          </a:xfrm>
                          <a:prstGeom prst="rect">
                            <a:avLst/>
                          </a:prstGeom>
                          <a:noFill/>
                          <a:ln w="9525">
                            <a:noFill/>
                            <a:miter lim="800000"/>
                            <a:headEnd/>
                            <a:tailEnd/>
                          </a:ln>
                        </pic:spPr>
                      </pic:pic>
                    </a:graphicData>
                  </a:graphic>
                </wp:inline>
              </w:drawing>
            </w:r>
          </w:p>
          <w:p w:rsidR="007C4F78" w:rsidRDefault="0096658A" w:rsidP="0096658A">
            <w:pPr>
              <w:pStyle w:val="Lgende"/>
            </w:pPr>
            <w:r>
              <w:t xml:space="preserve">Figure </w:t>
            </w:r>
            <w:fldSimple w:instr=" SEQ Figure \* ARABIC ">
              <w:r w:rsidR="00DD6E13">
                <w:rPr>
                  <w:noProof/>
                </w:rPr>
                <w:t>18</w:t>
              </w:r>
            </w:fldSimple>
            <w:r>
              <w:t xml:space="preserve"> Histogramme des valeurs de la </w:t>
            </w:r>
            <w:r w:rsidR="005A3F1B">
              <w:fldChar w:fldCharType="begin"/>
            </w:r>
            <w:r>
              <w:instrText xml:space="preserve"> REF _Ref309326382 \h </w:instrText>
            </w:r>
            <w:r w:rsidR="005A3F1B">
              <w:fldChar w:fldCharType="separate"/>
            </w:r>
            <w:r>
              <w:t xml:space="preserve">Figure </w:t>
            </w:r>
            <w:r>
              <w:rPr>
                <w:noProof/>
              </w:rPr>
              <w:t>16</w:t>
            </w:r>
            <w:r w:rsidR="005A3F1B">
              <w:fldChar w:fldCharType="end"/>
            </w:r>
            <w:r>
              <w:t>.</w:t>
            </w:r>
          </w:p>
        </w:tc>
      </w:tr>
    </w:tbl>
    <w:p w:rsidR="000638EE" w:rsidRDefault="000638EE" w:rsidP="000638EE"/>
    <w:p w:rsidR="000638EE" w:rsidRDefault="000638EE" w:rsidP="00F3742B">
      <w:pPr>
        <w:jc w:val="both"/>
      </w:pPr>
      <w:r>
        <w:t>Une autre façon de juger de la stabilité de la prise des données et d</w:t>
      </w:r>
      <w:r w:rsidR="00F3742B">
        <w:t>e moyenner</w:t>
      </w:r>
      <w:r>
        <w:t xml:space="preserve"> l’intensité dans la bande [1400,1415</w:t>
      </w:r>
      <w:proofErr w:type="gramStart"/>
      <w:r>
        <w:t>]MHz</w:t>
      </w:r>
      <w:proofErr w:type="gramEnd"/>
      <w:r w:rsidR="00F3742B">
        <w:rPr>
          <w:rStyle w:val="Appelnotedebasdep"/>
        </w:rPr>
        <w:footnoteReference w:id="5"/>
      </w:r>
      <w:r>
        <w:t xml:space="preserve"> </w:t>
      </w:r>
      <w:r w:rsidR="00F3742B">
        <w:t xml:space="preserve">sur les spectres ON et OFF séparément. Le résultat est montré sur </w:t>
      </w:r>
      <w:r w:rsidR="00F3742B">
        <w:fldChar w:fldCharType="begin"/>
      </w:r>
      <w:r w:rsidR="00F3742B">
        <w:instrText xml:space="preserve"> REF _Ref309393230 \h </w:instrText>
      </w:r>
      <w:r w:rsidR="00F3742B">
        <w:fldChar w:fldCharType="separate"/>
      </w:r>
      <w:r w:rsidR="00F3742B">
        <w:t xml:space="preserve">Figure </w:t>
      </w:r>
      <w:r w:rsidR="00F3742B">
        <w:rPr>
          <w:noProof/>
        </w:rPr>
        <w:t>19</w:t>
      </w:r>
      <w:r w:rsidR="00F3742B">
        <w:fldChar w:fldCharType="end"/>
      </w:r>
      <w:r w:rsidR="00F3742B">
        <w:t xml:space="preserve"> et un zoom sur </w:t>
      </w:r>
      <w:r w:rsidR="00F3742B">
        <w:fldChar w:fldCharType="begin"/>
      </w:r>
      <w:r w:rsidR="00F3742B">
        <w:instrText xml:space="preserve"> REF _Ref309393263 \h </w:instrText>
      </w:r>
      <w:r w:rsidR="00F3742B">
        <w:fldChar w:fldCharType="separate"/>
      </w:r>
      <w:r w:rsidR="00F3742B">
        <w:t xml:space="preserve">Figure </w:t>
      </w:r>
      <w:r w:rsidR="00F3742B">
        <w:rPr>
          <w:noProof/>
        </w:rPr>
        <w:t>20</w:t>
      </w:r>
      <w:r w:rsidR="00F3742B">
        <w:fldChar w:fldCharType="end"/>
      </w:r>
      <w:r w:rsidR="00F3742B">
        <w:t xml:space="preserve">. On constate des variations </w:t>
      </w:r>
      <w:r w:rsidR="000B5A8D">
        <w:t xml:space="preserve">d’un </w:t>
      </w:r>
      <w:proofErr w:type="spellStart"/>
      <w:r w:rsidR="000B5A8D">
        <w:t>run</w:t>
      </w:r>
      <w:proofErr w:type="spellEnd"/>
      <w:r w:rsidR="000B5A8D">
        <w:t xml:space="preserve"> à l’autre et même à l’intérieur d’un </w:t>
      </w:r>
      <w:proofErr w:type="spellStart"/>
      <w:r w:rsidR="000B5A8D">
        <w:t>run</w:t>
      </w:r>
      <w:proofErr w:type="spellEnd"/>
      <w:r w:rsidR="000B5A8D">
        <w:t xml:space="preserve"> c'est-à-dire cycle à cycle. La procédure par contre ON-OFF </w:t>
      </w:r>
      <w:proofErr w:type="spellStart"/>
      <w:r w:rsidR="000B5A8D">
        <w:t>indépendament</w:t>
      </w:r>
      <w:proofErr w:type="spellEnd"/>
      <w:r w:rsidR="000B5A8D">
        <w:t xml:space="preserve"> pour les 2 canaux annulent ces variations comme on a pu le constater sur les </w:t>
      </w:r>
      <w:r w:rsidR="000B5A8D">
        <w:fldChar w:fldCharType="begin"/>
      </w:r>
      <w:r w:rsidR="000B5A8D">
        <w:instrText xml:space="preserve"> REF _Ref309324587 \h </w:instrText>
      </w:r>
      <w:r w:rsidR="000B5A8D">
        <w:fldChar w:fldCharType="separate"/>
      </w:r>
      <w:r w:rsidR="000B5A8D">
        <w:t xml:space="preserve">Figure </w:t>
      </w:r>
      <w:r w:rsidR="000B5A8D">
        <w:rPr>
          <w:noProof/>
        </w:rPr>
        <w:t>12</w:t>
      </w:r>
      <w:r w:rsidR="000B5A8D">
        <w:fldChar w:fldCharType="end"/>
      </w:r>
      <w:r w:rsidR="000B5A8D">
        <w:t xml:space="preserve"> et </w:t>
      </w:r>
      <w:r w:rsidR="000B5A8D">
        <w:fldChar w:fldCharType="begin"/>
      </w:r>
      <w:r w:rsidR="000B5A8D">
        <w:instrText xml:space="preserve"> REF _Ref309326382 \h </w:instrText>
      </w:r>
      <w:r w:rsidR="000B5A8D">
        <w:fldChar w:fldCharType="separate"/>
      </w:r>
      <w:r w:rsidR="000B5A8D">
        <w:t xml:space="preserve">Figure </w:t>
      </w:r>
      <w:r w:rsidR="000B5A8D">
        <w:rPr>
          <w:noProof/>
        </w:rPr>
        <w:t>17</w:t>
      </w:r>
      <w:r w:rsidR="000B5A8D">
        <w:fldChar w:fldCharType="end"/>
      </w:r>
      <w:r w:rsidR="000B5A8D">
        <w:t>.</w:t>
      </w:r>
    </w:p>
    <w:p w:rsidR="00F3742B" w:rsidRDefault="00F3742B" w:rsidP="000638EE"/>
    <w:tbl>
      <w:tblPr>
        <w:tblStyle w:val="Grilledutableau"/>
        <w:tblW w:w="0" w:type="auto"/>
        <w:tblLook w:val="04A0"/>
      </w:tblPr>
      <w:tblGrid>
        <w:gridCol w:w="8759"/>
      </w:tblGrid>
      <w:tr w:rsidR="000638EE" w:rsidTr="000638EE">
        <w:tc>
          <w:tcPr>
            <w:tcW w:w="8683" w:type="dxa"/>
          </w:tcPr>
          <w:p w:rsidR="000638EE" w:rsidRDefault="000638EE" w:rsidP="000638EE"/>
          <w:p w:rsidR="00F3742B" w:rsidRDefault="000638EE" w:rsidP="00F3742B">
            <w:pPr>
              <w:keepNext/>
            </w:pPr>
            <w:r>
              <w:rPr>
                <w:noProof/>
                <w:lang w:eastAsia="fr-FR"/>
              </w:rPr>
              <w:drawing>
                <wp:inline distT="0" distB="0" distL="0" distR="0">
                  <wp:extent cx="5414645" cy="3622040"/>
                  <wp:effectExtent l="19050" t="0" r="0" b="0"/>
                  <wp:docPr id="11"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srcRect/>
                          <a:stretch>
                            <a:fillRect/>
                          </a:stretch>
                        </pic:blipFill>
                        <pic:spPr bwMode="auto">
                          <a:xfrm>
                            <a:off x="0" y="0"/>
                            <a:ext cx="5414645" cy="3622040"/>
                          </a:xfrm>
                          <a:prstGeom prst="rect">
                            <a:avLst/>
                          </a:prstGeom>
                          <a:noFill/>
                          <a:ln w="9525">
                            <a:noFill/>
                            <a:miter lim="800000"/>
                            <a:headEnd/>
                            <a:tailEnd/>
                          </a:ln>
                        </pic:spPr>
                      </pic:pic>
                    </a:graphicData>
                  </a:graphic>
                </wp:inline>
              </w:drawing>
            </w:r>
          </w:p>
          <w:p w:rsidR="000638EE" w:rsidRDefault="00F3742B" w:rsidP="00F3742B">
            <w:pPr>
              <w:pStyle w:val="Lgende"/>
            </w:pPr>
            <w:bookmarkStart w:id="27" w:name="_Ref309393230"/>
            <w:r>
              <w:t xml:space="preserve">Figure </w:t>
            </w:r>
            <w:fldSimple w:instr=" SEQ Figure \* ARABIC ">
              <w:r w:rsidR="00DD6E13">
                <w:rPr>
                  <w:noProof/>
                </w:rPr>
                <w:t>19</w:t>
              </w:r>
            </w:fldSimple>
            <w:bookmarkEnd w:id="27"/>
            <w:r>
              <w:t xml:space="preserve"> Evolution de la moyenne de l'intensité dans la bande [1400,1415</w:t>
            </w:r>
            <w:proofErr w:type="gramStart"/>
            <w:r>
              <w:t>]MHz</w:t>
            </w:r>
            <w:proofErr w:type="gramEnd"/>
            <w:r>
              <w:t xml:space="preserve"> pour les 2 canaux et le OFF et ON séparément : bleu : </w:t>
            </w:r>
            <w:proofErr w:type="spellStart"/>
            <w:r>
              <w:t>Ch</w:t>
            </w:r>
            <w:proofErr w:type="spellEnd"/>
            <w:r>
              <w:t xml:space="preserve"> 0/OFF, cyan </w:t>
            </w:r>
            <w:proofErr w:type="spellStart"/>
            <w:r>
              <w:t>Ch</w:t>
            </w:r>
            <w:proofErr w:type="spellEnd"/>
            <w:r>
              <w:t xml:space="preserve"> 0/ON, rouge </w:t>
            </w:r>
            <w:proofErr w:type="spellStart"/>
            <w:r>
              <w:t>Ch</w:t>
            </w:r>
            <w:proofErr w:type="spellEnd"/>
            <w:r>
              <w:t xml:space="preserve"> 1/OFF, orange </w:t>
            </w:r>
            <w:proofErr w:type="spellStart"/>
            <w:r>
              <w:t>Ch</w:t>
            </w:r>
            <w:proofErr w:type="spellEnd"/>
            <w:r>
              <w:t xml:space="preserve"> 1/On.</w:t>
            </w:r>
          </w:p>
        </w:tc>
      </w:tr>
      <w:tr w:rsidR="000638EE" w:rsidTr="000638EE">
        <w:tc>
          <w:tcPr>
            <w:tcW w:w="8683" w:type="dxa"/>
          </w:tcPr>
          <w:p w:rsidR="00F3742B" w:rsidRDefault="000638EE" w:rsidP="00F3742B">
            <w:pPr>
              <w:keepNext/>
            </w:pPr>
            <w:r>
              <w:rPr>
                <w:noProof/>
                <w:lang w:eastAsia="fr-FR"/>
              </w:rPr>
              <w:lastRenderedPageBreak/>
              <w:drawing>
                <wp:inline distT="0" distB="0" distL="0" distR="0">
                  <wp:extent cx="5405755" cy="3433445"/>
                  <wp:effectExtent l="19050" t="0" r="4445" b="0"/>
                  <wp:docPr id="20"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2" cstate="print"/>
                          <a:srcRect/>
                          <a:stretch>
                            <a:fillRect/>
                          </a:stretch>
                        </pic:blipFill>
                        <pic:spPr bwMode="auto">
                          <a:xfrm>
                            <a:off x="0" y="0"/>
                            <a:ext cx="5405755" cy="3433445"/>
                          </a:xfrm>
                          <a:prstGeom prst="rect">
                            <a:avLst/>
                          </a:prstGeom>
                          <a:noFill/>
                          <a:ln w="9525">
                            <a:noFill/>
                            <a:miter lim="800000"/>
                            <a:headEnd/>
                            <a:tailEnd/>
                          </a:ln>
                        </pic:spPr>
                      </pic:pic>
                    </a:graphicData>
                  </a:graphic>
                </wp:inline>
              </w:drawing>
            </w:r>
          </w:p>
          <w:p w:rsidR="000638EE" w:rsidRDefault="00F3742B" w:rsidP="00F3742B">
            <w:pPr>
              <w:pStyle w:val="Lgende"/>
            </w:pPr>
            <w:bookmarkStart w:id="28" w:name="_Ref309393263"/>
            <w:r>
              <w:t xml:space="preserve">Figure </w:t>
            </w:r>
            <w:fldSimple w:instr=" SEQ Figure \* ARABIC ">
              <w:r w:rsidR="00DD6E13">
                <w:rPr>
                  <w:noProof/>
                </w:rPr>
                <w:t>20</w:t>
              </w:r>
            </w:fldSimple>
            <w:bookmarkEnd w:id="28"/>
            <w:r>
              <w:t xml:space="preserve"> Zoom de la </w:t>
            </w:r>
            <w:r>
              <w:fldChar w:fldCharType="begin"/>
            </w:r>
            <w:r>
              <w:instrText xml:space="preserve"> REF _Ref309393230 \h </w:instrText>
            </w:r>
            <w:r>
              <w:fldChar w:fldCharType="separate"/>
            </w:r>
            <w:r>
              <w:t xml:space="preserve">Figure </w:t>
            </w:r>
            <w:r>
              <w:rPr>
                <w:noProof/>
              </w:rPr>
              <w:t>19</w:t>
            </w:r>
            <w:r>
              <w:fldChar w:fldCharType="end"/>
            </w:r>
            <w:r>
              <w:t>.</w:t>
            </w:r>
          </w:p>
        </w:tc>
      </w:tr>
    </w:tbl>
    <w:p w:rsidR="000638EE" w:rsidRDefault="000638EE" w:rsidP="000638EE"/>
    <w:p w:rsidR="004D5A5A" w:rsidRDefault="000638EE" w:rsidP="004D5A5A">
      <w:pPr>
        <w:pStyle w:val="Titre2"/>
      </w:pPr>
      <w:r>
        <w:t>*</w:t>
      </w:r>
      <w:r w:rsidR="004D5A5A">
        <w:t>Evolution de la sensibilité en fonction du temps d’intégration</w:t>
      </w:r>
    </w:p>
    <w:p w:rsidR="004D5A5A" w:rsidRDefault="00741771" w:rsidP="00CF4D6B">
      <w:pPr>
        <w:jc w:val="both"/>
      </w:pPr>
      <w:r>
        <w:t xml:space="preserve">En sommant l’intensité de </w:t>
      </w:r>
      <w:r w:rsidR="004D5A5A">
        <w:t>la bande protégée [1400, 1420</w:t>
      </w:r>
      <w:proofErr w:type="gramStart"/>
      <w:r w:rsidR="004D5A5A">
        <w:t>]MHz</w:t>
      </w:r>
      <w:proofErr w:type="gramEnd"/>
      <w:r>
        <w:t xml:space="preserve"> (cf. </w:t>
      </w:r>
      <w:r w:rsidR="005A3F1B">
        <w:fldChar w:fldCharType="begin"/>
      </w:r>
      <w:r>
        <w:instrText xml:space="preserve"> REF _Ref309323316 \h </w:instrText>
      </w:r>
      <w:r w:rsidR="005A3F1B">
        <w:fldChar w:fldCharType="separate"/>
      </w:r>
      <w:r>
        <w:t xml:space="preserve">Figure </w:t>
      </w:r>
      <w:r>
        <w:rPr>
          <w:noProof/>
        </w:rPr>
        <w:t>11</w:t>
      </w:r>
      <w:r w:rsidR="005A3F1B">
        <w:fldChar w:fldCharType="end"/>
      </w:r>
      <w:r>
        <w:t>) on peut suivre au cours du temps l’évolution de la déviation standard du bruit. Pour cela, ayant 500 cycles, on les rassemble en lots de (1, 10, 25, 50, 100) cycles</w:t>
      </w:r>
      <w:r>
        <w:rPr>
          <w:rStyle w:val="Appelnotedebasdep"/>
        </w:rPr>
        <w:footnoteReference w:id="6"/>
      </w:r>
      <w:r>
        <w:t xml:space="preserve"> dont on peut tirer la moyenne et la déviation standard. Ainsi, l’on peut porter l’évolution de cette déviation standard cumulée, en fonction du nombre de cycles intégrés (cf. </w:t>
      </w:r>
      <w:r w:rsidR="005A3F1B">
        <w:fldChar w:fldCharType="begin"/>
      </w:r>
      <w:r w:rsidR="00660012">
        <w:instrText xml:space="preserve"> REF _Ref309374191 \h </w:instrText>
      </w:r>
      <w:r w:rsidR="005A3F1B">
        <w:fldChar w:fldCharType="separate"/>
      </w:r>
      <w:proofErr w:type="gramStart"/>
      <w:r w:rsidR="00660012">
        <w:t xml:space="preserve">Figure </w:t>
      </w:r>
      <w:r w:rsidR="00660012">
        <w:rPr>
          <w:noProof/>
        </w:rPr>
        <w:t>19</w:t>
      </w:r>
      <w:r w:rsidR="005A3F1B">
        <w:fldChar w:fldCharType="end"/>
      </w:r>
      <w:proofErr w:type="gramEnd"/>
      <w:r w:rsidR="00660012">
        <w:t>). La courbe noire est là pour guider l’œil, elle s’appuie sur le point à « </w:t>
      </w:r>
      <w:proofErr w:type="spellStart"/>
      <w:r w:rsidR="00660012">
        <w:t>num</w:t>
      </w:r>
      <w:proofErr w:type="spellEnd"/>
      <w:r w:rsidR="00660012">
        <w:t xml:space="preserve"> of cycles = 1 » du canal 0 et une simple dépendance en 1/</w:t>
      </w:r>
      <w:r w:rsidR="00660012">
        <w:sym w:font="Symbol" w:char="F0D6"/>
      </w:r>
      <w:r w:rsidR="00660012">
        <w:t> « </w:t>
      </w:r>
      <w:proofErr w:type="spellStart"/>
      <w:r w:rsidR="00660012">
        <w:t>num</w:t>
      </w:r>
      <w:proofErr w:type="spellEnd"/>
      <w:r w:rsidR="00660012">
        <w:t>. of cycles ». Pour être un peu plus quantitatif, la relation</w:t>
      </w:r>
      <w:r w:rsidR="004A6190">
        <w:t xml:space="preserve"> reliant la déviation standard (processus ergodique périodique) pour 1 polar est donnée par</w:t>
      </w:r>
    </w:p>
    <w:p w:rsidR="004A6190" w:rsidRDefault="004A6190" w:rsidP="004D5A5A">
      <m:oMathPara>
        <m:oMath>
          <m:r>
            <w:rPr>
              <w:rFonts w:ascii="Cambria Math" w:hAnsi="Cambria Math" w:cs="Cambria Math"/>
            </w:rPr>
            <m:t>σ</m:t>
          </m:r>
          <m:r>
            <m:rPr>
              <m:sty m:val="p"/>
            </m:rPr>
            <w:rPr>
              <w:rFonts w:ascii="Cambria Math" w:hAnsi="Cambria Math" w:cs="Cambria Math"/>
            </w:rPr>
            <m:t>=</m:t>
          </m:r>
          <m:f>
            <m:fPr>
              <m:ctrlPr>
                <w:rPr>
                  <w:rFonts w:ascii="Cambria Math" w:hAnsi="Cambria Math"/>
                </w:rPr>
              </m:ctrlPr>
            </m:fPr>
            <m:num>
              <m:sSub>
                <m:sSubPr>
                  <m:ctrlPr>
                    <w:rPr>
                      <w:rFonts w:ascii="Cambria Math" w:hAnsi="Cambria Math" w:cs="Cambria Math"/>
                    </w:rPr>
                  </m:ctrlPr>
                </m:sSubPr>
                <m:e>
                  <m:r>
                    <m:rPr>
                      <m:sty m:val="p"/>
                    </m:rPr>
                    <w:rPr>
                      <w:rFonts w:ascii="Cambria Math" w:hAnsi="Cambria Math" w:cs="Cambria Math"/>
                    </w:rPr>
                    <m:t>T</m:t>
                  </m:r>
                </m:e>
                <m:sub>
                  <m:r>
                    <m:rPr>
                      <m:sty m:val="p"/>
                    </m:rPr>
                    <w:rPr>
                      <w:rFonts w:ascii="Cambria Math" w:hAnsi="Cambria Math" w:cs="Cambria Math"/>
                    </w:rPr>
                    <m:t>sys</m:t>
                  </m:r>
                </m:sub>
              </m:sSub>
            </m:num>
            <m:den>
              <m:rad>
                <m:radPr>
                  <m:degHide m:val="on"/>
                  <m:ctrlPr>
                    <w:rPr>
                      <w:rFonts w:ascii="Cambria Math" w:hAnsi="Cambria Math" w:cs="Cambria Math"/>
                    </w:rPr>
                  </m:ctrlPr>
                </m:radPr>
                <m:deg/>
                <m:e>
                  <m:r>
                    <m:rPr>
                      <m:sty m:val="p"/>
                    </m:rPr>
                    <w:rPr>
                      <w:rFonts w:ascii="Cambria Math" w:hAnsi="Cambria Math" w:cs="Cambria Math"/>
                    </w:rPr>
                    <m:t>∆</m:t>
                  </m:r>
                  <m:r>
                    <m:rPr>
                      <m:sty m:val="p"/>
                    </m:rPr>
                    <w:rPr>
                      <w:rFonts w:ascii="Cambria Math" w:hAnsi="Cambria Math" w:cs="Cambria Math"/>
                    </w:rPr>
                    <w:sym w:font="Symbol" w:char="F06E"/>
                  </m:r>
                  <m:r>
                    <m:rPr>
                      <m:sty m:val="p"/>
                    </m:rPr>
                    <w:rPr>
                      <w:rFonts w:ascii="Cambria Math" w:hAnsi="Cambria Math" w:cs="Cambria Math"/>
                    </w:rPr>
                    <m:t xml:space="preserve"> ∆t</m:t>
                  </m:r>
                </m:e>
              </m:rad>
            </m:den>
          </m:f>
        </m:oMath>
      </m:oMathPara>
    </w:p>
    <w:p w:rsidR="00CF4D6B" w:rsidRDefault="00CF4D6B" w:rsidP="00CF4D6B">
      <w:pPr>
        <w:jc w:val="both"/>
      </w:pPr>
      <w:r>
        <w:t xml:space="preserve">Comme je travaille en </w:t>
      </w:r>
      <w:proofErr w:type="spellStart"/>
      <w:r>
        <w:t>a.u</w:t>
      </w:r>
      <w:proofErr w:type="spellEnd"/>
      <w:r>
        <w:t xml:space="preserve"> est que l’on normalise essentiellement par le </w:t>
      </w:r>
      <w:proofErr w:type="spellStart"/>
      <w:r>
        <w:t>T</w:t>
      </w:r>
      <w:r w:rsidRPr="00CF4D6B">
        <w:rPr>
          <w:vertAlign w:val="subscript"/>
        </w:rPr>
        <w:t>sys</w:t>
      </w:r>
      <w:proofErr w:type="spellEnd"/>
      <w:r>
        <w:t xml:space="preserve"> donc le résultat de la </w:t>
      </w:r>
      <w:r w:rsidR="005A3F1B">
        <w:fldChar w:fldCharType="begin"/>
      </w:r>
      <w:r>
        <w:instrText xml:space="preserve"> REF _Ref309374191 \h </w:instrText>
      </w:r>
      <w:r w:rsidR="005A3F1B">
        <w:fldChar w:fldCharType="separate"/>
      </w:r>
      <w:r>
        <w:t xml:space="preserve">Figure </w:t>
      </w:r>
      <w:r>
        <w:rPr>
          <w:noProof/>
        </w:rPr>
        <w:t>19</w:t>
      </w:r>
      <w:r w:rsidR="005A3F1B">
        <w:fldChar w:fldCharType="end"/>
      </w:r>
      <w:r>
        <w:t xml:space="preserve">, est le rapport </w:t>
      </w:r>
      <w:r w:rsidRPr="00CF4D6B">
        <w:rPr>
          <w:rFonts w:ascii="Symbol" w:hAnsi="Symbol"/>
        </w:rPr>
        <w:t></w:t>
      </w:r>
      <w:r>
        <w:rPr>
          <w:rFonts w:ascii="Symbol" w:hAnsi="Symbol"/>
        </w:rPr>
        <w:t></w:t>
      </w:r>
      <w:r w:rsidRPr="00CF4D6B">
        <w:t xml:space="preserve"> </w:t>
      </w:r>
      <w:proofErr w:type="spellStart"/>
      <w:r>
        <w:t>T</w:t>
      </w:r>
      <w:r w:rsidRPr="00CF4D6B">
        <w:rPr>
          <w:vertAlign w:val="subscript"/>
        </w:rPr>
        <w:t>sys</w:t>
      </w:r>
      <w:proofErr w:type="spellEnd"/>
      <w:r>
        <w:t xml:space="preserve"> avec </w:t>
      </w:r>
      <w:r>
        <w:sym w:font="Symbol" w:char="F044"/>
      </w:r>
      <w:r>
        <w:sym w:font="Symbol" w:char="F06E"/>
      </w:r>
      <w:r>
        <w:t xml:space="preserve"> = 30kHz et </w:t>
      </w:r>
      <w:r>
        <w:sym w:font="Symbol" w:char="F044"/>
      </w:r>
      <w:r>
        <w:t xml:space="preserve">t = 10sec x n avec n le nombre de cycles intégrés (10sec tient compte de l’efficacité). Avec ces facteurs on obtiendrait (conditionnel car il y a des facteurs </w:t>
      </w:r>
      <w:r>
        <w:sym w:font="Symbol" w:char="F0D6"/>
      </w:r>
      <w:r>
        <w:t>2) une relation</w:t>
      </w:r>
    </w:p>
    <w:p w:rsidR="00660012" w:rsidRPr="00CF4D6B" w:rsidRDefault="00CF4D6B" w:rsidP="00CF4D6B">
      <w:pPr>
        <w:jc w:val="both"/>
      </w:pPr>
      <w:r>
        <w:t xml:space="preserve"> </w:t>
      </w:r>
    </w:p>
    <w:p w:rsidR="00CF4D6B" w:rsidRDefault="00CF4D6B" w:rsidP="004D5A5A">
      <m:oMathPara>
        <m:oMath>
          <m:r>
            <w:rPr>
              <w:rFonts w:ascii="Cambria Math" w:hAnsi="Cambria Math" w:cs="Cambria Math"/>
            </w:rPr>
            <m:t>σ (a.u)</m:t>
          </m:r>
          <m:r>
            <m:rPr>
              <m:sty m:val="p"/>
            </m:rPr>
            <w:rPr>
              <w:rFonts w:ascii="Cambria Math" w:hAnsi="Cambria Math" w:cs="Cambria Math"/>
            </w:rPr>
            <m:t>=</m:t>
          </m:r>
          <m:f>
            <m:fPr>
              <m:ctrlPr>
                <w:rPr>
                  <w:rFonts w:ascii="Cambria Math" w:hAnsi="Cambria Math"/>
                </w:rPr>
              </m:ctrlPr>
            </m:fPr>
            <m:num>
              <m:r>
                <m:rPr>
                  <m:sty m:val="p"/>
                </m:rPr>
                <w:rPr>
                  <w:rFonts w:ascii="Cambria Math" w:hAnsi="Cambria Math" w:cs="Cambria Math"/>
                </w:rPr>
                <m:t xml:space="preserve">1.8 </m:t>
              </m:r>
              <m:sSup>
                <m:sSupPr>
                  <m:ctrlPr>
                    <w:rPr>
                      <w:rFonts w:ascii="Cambria Math" w:hAnsi="Cambria Math" w:cs="Cambria Math"/>
                    </w:rPr>
                  </m:ctrlPr>
                </m:sSupPr>
                <m:e>
                  <m:r>
                    <m:rPr>
                      <m:sty m:val="p"/>
                    </m:rPr>
                    <w:rPr>
                      <w:rFonts w:ascii="Cambria Math" w:hAnsi="Cambria Math" w:cs="Cambria Math"/>
                    </w:rPr>
                    <m:t>10</m:t>
                  </m:r>
                </m:e>
                <m:sup>
                  <m:r>
                    <m:rPr>
                      <m:sty m:val="p"/>
                    </m:rPr>
                    <w:rPr>
                      <w:rFonts w:ascii="Cambria Math" w:hAnsi="Cambria Math" w:cs="Cambria Math"/>
                    </w:rPr>
                    <m:t>-3</m:t>
                  </m:r>
                </m:sup>
              </m:sSup>
            </m:num>
            <m:den>
              <m:rad>
                <m:radPr>
                  <m:degHide m:val="on"/>
                  <m:ctrlPr>
                    <w:rPr>
                      <w:rFonts w:ascii="Cambria Math" w:hAnsi="Cambria Math" w:cs="Cambria Math"/>
                    </w:rPr>
                  </m:ctrlPr>
                </m:radPr>
                <m:deg/>
                <m:e>
                  <m:r>
                    <m:rPr>
                      <m:sty m:val="p"/>
                    </m:rPr>
                    <w:rPr>
                      <w:rFonts w:ascii="Cambria Math" w:hAnsi="Cambria Math" w:cs="Cambria Math"/>
                    </w:rPr>
                    <m:t>n</m:t>
                  </m:r>
                </m:e>
              </m:rad>
            </m:den>
          </m:f>
        </m:oMath>
      </m:oMathPara>
    </w:p>
    <w:p w:rsidR="00CF4D6B" w:rsidRDefault="00CF4D6B" w:rsidP="004D5A5A">
      <w:r>
        <w:t>Ce qui pour le moment colle assez bien avec ce que l’on observe.</w:t>
      </w:r>
    </w:p>
    <w:tbl>
      <w:tblPr>
        <w:tblStyle w:val="Grilledutableau"/>
        <w:tblW w:w="0" w:type="auto"/>
        <w:tblLook w:val="04A0"/>
      </w:tblPr>
      <w:tblGrid>
        <w:gridCol w:w="8683"/>
      </w:tblGrid>
      <w:tr w:rsidR="00741771" w:rsidTr="00741771">
        <w:tc>
          <w:tcPr>
            <w:tcW w:w="8683" w:type="dxa"/>
          </w:tcPr>
          <w:p w:rsidR="00741771" w:rsidRDefault="00741771" w:rsidP="00FD5650">
            <w:pPr>
              <w:keepNext/>
              <w:jc w:val="center"/>
            </w:pPr>
            <w:r w:rsidRPr="00741771">
              <w:rPr>
                <w:noProof/>
                <w:lang w:eastAsia="fr-FR"/>
              </w:rPr>
              <w:lastRenderedPageBreak/>
              <w:drawing>
                <wp:inline distT="0" distB="0" distL="0" distR="0">
                  <wp:extent cx="3274271" cy="3523130"/>
                  <wp:effectExtent l="19050" t="0" r="2329" b="0"/>
                  <wp:docPr id="2" name="Image 1"/>
                  <wp:cNvGraphicFramePr/>
                  <a:graphic xmlns:a="http://schemas.openxmlformats.org/drawingml/2006/main">
                    <a:graphicData uri="http://schemas.openxmlformats.org/drawingml/2006/picture">
                      <pic:pic xmlns:pic="http://schemas.openxmlformats.org/drawingml/2006/picture">
                        <pic:nvPicPr>
                          <pic:cNvPr id="12290" name="Picture 3"/>
                          <pic:cNvPicPr>
                            <a:picLocks noChangeAspect="1" noChangeArrowheads="1"/>
                          </pic:cNvPicPr>
                        </pic:nvPicPr>
                        <pic:blipFill>
                          <a:blip r:embed="rId33" cstate="print"/>
                          <a:srcRect/>
                          <a:stretch>
                            <a:fillRect/>
                          </a:stretch>
                        </pic:blipFill>
                        <pic:spPr bwMode="auto">
                          <a:xfrm>
                            <a:off x="0" y="0"/>
                            <a:ext cx="3276212" cy="3525218"/>
                          </a:xfrm>
                          <a:prstGeom prst="rect">
                            <a:avLst/>
                          </a:prstGeom>
                          <a:noFill/>
                          <a:ln w="9525">
                            <a:noFill/>
                            <a:miter lim="800000"/>
                            <a:headEnd/>
                            <a:tailEnd/>
                          </a:ln>
                        </pic:spPr>
                      </pic:pic>
                    </a:graphicData>
                  </a:graphic>
                </wp:inline>
              </w:drawing>
            </w:r>
          </w:p>
          <w:p w:rsidR="00741771" w:rsidRDefault="00741771" w:rsidP="00FD5650">
            <w:pPr>
              <w:pStyle w:val="Lgende"/>
              <w:jc w:val="both"/>
            </w:pPr>
            <w:bookmarkStart w:id="29" w:name="_Ref309374191"/>
            <w:r>
              <w:t xml:space="preserve">Figure </w:t>
            </w:r>
            <w:fldSimple w:instr=" SEQ Figure \* ARABIC ">
              <w:r w:rsidR="00DD6E13">
                <w:rPr>
                  <w:noProof/>
                </w:rPr>
                <w:t>21</w:t>
              </w:r>
            </w:fldSimple>
            <w:bookmarkEnd w:id="29"/>
            <w:r>
              <w:t xml:space="preserve"> Evolution de la déviation standard</w:t>
            </w:r>
            <w:r w:rsidR="00660012">
              <w:t xml:space="preserve"> pour les 2 canaux/polarisations</w:t>
            </w:r>
            <w:r>
              <w:t xml:space="preserve"> du bruit intégré sur la bande [1400-1420</w:t>
            </w:r>
            <w:proofErr w:type="gramStart"/>
            <w:r>
              <w:t>]MHz</w:t>
            </w:r>
            <w:proofErr w:type="gramEnd"/>
            <w:r>
              <w:t xml:space="preserve"> en fonction du nombre de cycles utilisés. Par exemple</w:t>
            </w:r>
            <w:r w:rsidR="00660012">
              <w:t>,</w:t>
            </w:r>
            <w:r>
              <w:t xml:space="preserve"> les points à « </w:t>
            </w:r>
            <w:proofErr w:type="spellStart"/>
            <w:r>
              <w:t>num</w:t>
            </w:r>
            <w:proofErr w:type="spellEnd"/>
            <w:r>
              <w:t>. of cycles = 25 » correspond</w:t>
            </w:r>
            <w:r w:rsidR="00660012">
              <w:t>ent</w:t>
            </w:r>
            <w:r>
              <w:t xml:space="preserve"> à la déviation standard de la distribution de 20 mesures de l’intensité sommée sur la bande </w:t>
            </w:r>
            <w:r w:rsidR="00660012">
              <w:t xml:space="preserve">de fréquence </w:t>
            </w:r>
            <w:r>
              <w:t>en question.</w:t>
            </w:r>
            <w:r w:rsidR="00660012">
              <w:t xml:space="preserve"> La courbe noire est là pour guider l’œil, elle s’appuie sur le point à « </w:t>
            </w:r>
            <w:proofErr w:type="spellStart"/>
            <w:r w:rsidR="00660012">
              <w:t>num</w:t>
            </w:r>
            <w:proofErr w:type="spellEnd"/>
            <w:r w:rsidR="00660012">
              <w:t xml:space="preserve"> of cycles = 1 » du canal 0 et une simple dépendance en 1/</w:t>
            </w:r>
            <w:r w:rsidR="00660012">
              <w:sym w:font="Symbol" w:char="F0D6"/>
            </w:r>
            <w:r w:rsidR="00660012">
              <w:t> « </w:t>
            </w:r>
            <w:proofErr w:type="spellStart"/>
            <w:r w:rsidR="00660012">
              <w:t>num</w:t>
            </w:r>
            <w:proofErr w:type="spellEnd"/>
            <w:r w:rsidR="00660012">
              <w:t>. of cycles ».</w:t>
            </w:r>
          </w:p>
        </w:tc>
      </w:tr>
    </w:tbl>
    <w:p w:rsidR="00741771" w:rsidRPr="004D5A5A" w:rsidRDefault="00741771" w:rsidP="004D5A5A"/>
    <w:p w:rsidR="00FD5650" w:rsidRDefault="00FD5650" w:rsidP="00FD5650">
      <w:pPr>
        <w:pStyle w:val="Titre2"/>
      </w:pPr>
      <w:r>
        <w:t>Zoom sur la zone HI de l’amas : 1350MHz</w:t>
      </w:r>
    </w:p>
    <w:p w:rsidR="00EB335B" w:rsidRDefault="00EB335B" w:rsidP="00EB335B">
      <w:pPr>
        <w:jc w:val="both"/>
      </w:pPr>
      <w:r>
        <w:t xml:space="preserve">Dans le lobe du NRT, deux galaxies sont susceptibles de donner un signal HI à 1353MHz. Le zoom de la différence ON-OFF dans cette zone est présenté sur la </w:t>
      </w:r>
      <w:r>
        <w:fldChar w:fldCharType="begin"/>
      </w:r>
      <w:r>
        <w:instrText xml:space="preserve"> REF _Ref309396322 \h </w:instrText>
      </w:r>
      <w:r>
        <w:fldChar w:fldCharType="separate"/>
      </w:r>
      <w:r>
        <w:t xml:space="preserve">Figure </w:t>
      </w:r>
      <w:r>
        <w:rPr>
          <w:noProof/>
        </w:rPr>
        <w:t>22</w:t>
      </w:r>
      <w:r>
        <w:fldChar w:fldCharType="end"/>
      </w:r>
      <w:r>
        <w:t>. Pour savoir si les augmentations d’intensit</w:t>
      </w:r>
      <w:r w:rsidR="00DD6E13">
        <w:t xml:space="preserve">é qui seraient suggérées, la </w:t>
      </w:r>
      <w:r w:rsidR="00F429DE">
        <w:fldChar w:fldCharType="begin"/>
      </w:r>
      <w:r w:rsidR="00F429DE">
        <w:instrText xml:space="preserve"> REF _Ref309397262 \h </w:instrText>
      </w:r>
      <w:r w:rsidR="00F429DE">
        <w:fldChar w:fldCharType="separate"/>
      </w:r>
      <w:r w:rsidR="00F429DE">
        <w:t xml:space="preserve">Figure </w:t>
      </w:r>
      <w:r w:rsidR="00F429DE">
        <w:rPr>
          <w:noProof/>
        </w:rPr>
        <w:t>23</w:t>
      </w:r>
      <w:r w:rsidR="00F429DE">
        <w:fldChar w:fldCharType="end"/>
      </w:r>
      <w:r w:rsidR="00DD6E13">
        <w:t xml:space="preserve"> </w:t>
      </w:r>
      <w:r>
        <w:t xml:space="preserve">montre indépendamment le ON et le OFF moyen sur l’ensemble des cycles.  </w:t>
      </w:r>
      <w:r w:rsidR="00F429DE">
        <w:t xml:space="preserve">On y voit un gros RFI à 1350MHz identifié comme le radar de Roissy, et d’autres </w:t>
      </w:r>
      <w:proofErr w:type="spellStart"/>
      <w:r w:rsidR="00F429DE">
        <w:t>RFIs</w:t>
      </w:r>
      <w:proofErr w:type="spellEnd"/>
      <w:r w:rsidR="00F429DE">
        <w:t xml:space="preserve"> entre 1355 et 1356MHz, mais la zone semble néanmoins chaotique ce qui ne permet pas de conclure positivement sur la présence de raie HI à 1353MHz.</w:t>
      </w:r>
    </w:p>
    <w:tbl>
      <w:tblPr>
        <w:tblStyle w:val="Grilledutableau"/>
        <w:tblW w:w="0" w:type="auto"/>
        <w:tblLook w:val="04A0"/>
      </w:tblPr>
      <w:tblGrid>
        <w:gridCol w:w="8755"/>
      </w:tblGrid>
      <w:tr w:rsidR="00DD6E13" w:rsidTr="00DD6E13">
        <w:tc>
          <w:tcPr>
            <w:tcW w:w="8755" w:type="dxa"/>
          </w:tcPr>
          <w:p w:rsidR="00DD6E13" w:rsidRDefault="00DD6E13" w:rsidP="00DD6E13">
            <w:pPr>
              <w:pStyle w:val="Lgende"/>
              <w:ind w:right="34"/>
              <w:jc w:val="center"/>
            </w:pPr>
            <w:r w:rsidRPr="00F02E7B">
              <w:lastRenderedPageBreak/>
              <w:drawing>
                <wp:inline distT="0" distB="0" distL="0" distR="0">
                  <wp:extent cx="3171825" cy="3238500"/>
                  <wp:effectExtent l="19050" t="0" r="9525" b="0"/>
                  <wp:docPr id="24"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34" cstate="print"/>
                          <a:srcRect/>
                          <a:stretch>
                            <a:fillRect/>
                          </a:stretch>
                        </pic:blipFill>
                        <pic:spPr bwMode="auto">
                          <a:xfrm>
                            <a:off x="0" y="0"/>
                            <a:ext cx="3171825" cy="3238500"/>
                          </a:xfrm>
                          <a:prstGeom prst="rect">
                            <a:avLst/>
                          </a:prstGeom>
                          <a:noFill/>
                          <a:ln w="9525">
                            <a:noFill/>
                            <a:miter lim="800000"/>
                            <a:headEnd/>
                            <a:tailEnd/>
                          </a:ln>
                        </pic:spPr>
                      </pic:pic>
                    </a:graphicData>
                  </a:graphic>
                </wp:inline>
              </w:drawing>
            </w:r>
            <w:bookmarkStart w:id="30" w:name="_Ref309396322"/>
          </w:p>
          <w:p w:rsidR="00DD6E13" w:rsidRDefault="00DD6E13" w:rsidP="00DD6E13">
            <w:pPr>
              <w:pStyle w:val="Lgende"/>
            </w:pPr>
            <w:bookmarkStart w:id="31" w:name="_Ref309397067"/>
            <w:r>
              <w:t xml:space="preserve">Figure </w:t>
            </w:r>
            <w:r>
              <w:fldChar w:fldCharType="begin"/>
            </w:r>
            <w:r>
              <w:instrText xml:space="preserve"> SEQ Figure \* ARABIC </w:instrText>
            </w:r>
            <w:r>
              <w:fldChar w:fldCharType="separate"/>
            </w:r>
            <w:r>
              <w:rPr>
                <w:noProof/>
              </w:rPr>
              <w:t>22</w:t>
            </w:r>
            <w:r>
              <w:fldChar w:fldCharType="end"/>
            </w:r>
            <w:bookmarkEnd w:id="30"/>
            <w:bookmarkEnd w:id="31"/>
            <w:r>
              <w:t xml:space="preserve"> Différence ON-OFF sur OFF lissé pour l’ensemble des 500cycles pour les 2</w:t>
            </w:r>
          </w:p>
        </w:tc>
      </w:tr>
    </w:tbl>
    <w:p w:rsidR="00EB335B" w:rsidRPr="002E01C7" w:rsidRDefault="00EB335B" w:rsidP="00EB335B">
      <w:pPr>
        <w:jc w:val="both"/>
      </w:pPr>
    </w:p>
    <w:p w:rsidR="00EB335B" w:rsidRPr="00EB335B" w:rsidRDefault="00EB335B" w:rsidP="00EB335B"/>
    <w:tbl>
      <w:tblPr>
        <w:tblStyle w:val="Grilledutableau"/>
        <w:tblW w:w="0" w:type="auto"/>
        <w:tblLook w:val="04A0"/>
      </w:tblPr>
      <w:tblGrid>
        <w:gridCol w:w="8683"/>
      </w:tblGrid>
      <w:tr w:rsidR="00DD6E13" w:rsidTr="00DD6E13">
        <w:tc>
          <w:tcPr>
            <w:tcW w:w="8683" w:type="dxa"/>
          </w:tcPr>
          <w:p w:rsidR="00DD6E13" w:rsidRDefault="00DD6E13" w:rsidP="00DD6E13">
            <w:pPr>
              <w:keepNext/>
              <w:jc w:val="center"/>
            </w:pPr>
            <w:r w:rsidRPr="00DD6E13">
              <w:drawing>
                <wp:inline distT="0" distB="0" distL="0" distR="0">
                  <wp:extent cx="4429125" cy="4367213"/>
                  <wp:effectExtent l="19050" t="0" r="9525" b="0"/>
                  <wp:docPr id="2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970" name="Picture 2"/>
                          <pic:cNvPicPr>
                            <a:picLocks noChangeAspect="1" noChangeArrowheads="1"/>
                          </pic:cNvPicPr>
                        </pic:nvPicPr>
                        <pic:blipFill>
                          <a:blip r:embed="rId35" cstate="print"/>
                          <a:srcRect/>
                          <a:stretch>
                            <a:fillRect/>
                          </a:stretch>
                        </pic:blipFill>
                        <pic:spPr bwMode="auto">
                          <a:xfrm>
                            <a:off x="0" y="0"/>
                            <a:ext cx="4429125" cy="4367213"/>
                          </a:xfrm>
                          <a:prstGeom prst="rect">
                            <a:avLst/>
                          </a:prstGeom>
                          <a:noFill/>
                          <a:ln w="9525">
                            <a:noFill/>
                            <a:miter lim="800000"/>
                            <a:headEnd/>
                            <a:tailEnd/>
                          </a:ln>
                        </pic:spPr>
                      </pic:pic>
                    </a:graphicData>
                  </a:graphic>
                </wp:inline>
              </w:drawing>
            </w:r>
          </w:p>
          <w:p w:rsidR="00DD6E13" w:rsidRDefault="00DD6E13" w:rsidP="00DD6E13">
            <w:pPr>
              <w:pStyle w:val="Lgende"/>
              <w:jc w:val="center"/>
            </w:pPr>
            <w:bookmarkStart w:id="32" w:name="_Ref309397262"/>
            <w:r>
              <w:t xml:space="preserve">Figure </w:t>
            </w:r>
            <w:fldSimple w:instr=" SEQ Figure \* ARABIC ">
              <w:r>
                <w:rPr>
                  <w:noProof/>
                </w:rPr>
                <w:t>23</w:t>
              </w:r>
            </w:fldSimple>
            <w:bookmarkEnd w:id="32"/>
            <w:r>
              <w:t xml:space="preserve"> Spectres ON (haut) et OFF (bas) normalisé par le OFF lissé pour les 2 canaux.</w:t>
            </w:r>
          </w:p>
        </w:tc>
      </w:tr>
    </w:tbl>
    <w:p w:rsidR="00F02E7B" w:rsidRPr="002E01C7" w:rsidRDefault="00F02E7B" w:rsidP="00EB335B">
      <w:pPr>
        <w:jc w:val="both"/>
      </w:pPr>
    </w:p>
    <w:sectPr w:rsidR="00F02E7B" w:rsidRPr="002E01C7" w:rsidSect="00AB15F3">
      <w:footerReference w:type="default" r:id="rId36"/>
      <w:pgSz w:w="11906" w:h="16838" w:code="9"/>
      <w:pgMar w:top="1417" w:right="1946" w:bottom="993" w:left="1417"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766F58" w:rsidRDefault="00766F58">
      <w:r>
        <w:separator/>
      </w:r>
    </w:p>
  </w:endnote>
  <w:endnote w:type="continuationSeparator" w:id="0">
    <w:p w:rsidR="00766F58" w:rsidRDefault="00766F5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0000012" w:usb3="00000000" w:csb0="000200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onotype Corsiva">
    <w:panose1 w:val="03010101010201010101"/>
    <w:charset w:val="00"/>
    <w:family w:val="script"/>
    <w:pitch w:val="variable"/>
    <w:sig w:usb0="00000287" w:usb1="00000000" w:usb2="00000000" w:usb3="00000000" w:csb0="0000009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10002FF" w:usb1="4000ACFF" w:usb2="00000009"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21789503"/>
      <w:docPartObj>
        <w:docPartGallery w:val="Page Numbers (Bottom of Page)"/>
        <w:docPartUnique/>
      </w:docPartObj>
    </w:sdtPr>
    <w:sdtContent>
      <w:p w:rsidR="00F3742B" w:rsidRDefault="00F3742B">
        <w:pPr>
          <w:pStyle w:val="Pieddepage"/>
          <w:jc w:val="right"/>
        </w:pPr>
        <w:fldSimple w:instr=" PAGE   \* MERGEFORMAT ">
          <w:r w:rsidR="006800B3">
            <w:rPr>
              <w:noProof/>
            </w:rPr>
            <w:t>16</w:t>
          </w:r>
        </w:fldSimple>
      </w:p>
    </w:sdtContent>
  </w:sdt>
  <w:p w:rsidR="00F3742B" w:rsidRDefault="00F3742B">
    <w:pPr>
      <w:pStyle w:val="Pieddepag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766F58" w:rsidRDefault="00766F58">
      <w:r>
        <w:separator/>
      </w:r>
    </w:p>
  </w:footnote>
  <w:footnote w:type="continuationSeparator" w:id="0">
    <w:p w:rsidR="00766F58" w:rsidRDefault="00766F58">
      <w:r>
        <w:continuationSeparator/>
      </w:r>
    </w:p>
  </w:footnote>
  <w:footnote w:id="1">
    <w:p w:rsidR="00F3742B" w:rsidRDefault="00F3742B">
      <w:pPr>
        <w:pStyle w:val="Notedebasdepage"/>
      </w:pPr>
      <w:r>
        <w:rPr>
          <w:rStyle w:val="Appelnotedebasdep"/>
        </w:rPr>
        <w:footnoteRef/>
      </w:r>
      <w:r>
        <w:t xml:space="preserve"> DAB pour Diode A Bruit.</w:t>
      </w:r>
    </w:p>
  </w:footnote>
  <w:footnote w:id="2">
    <w:p w:rsidR="00F3742B" w:rsidRDefault="00F3742B">
      <w:pPr>
        <w:pStyle w:val="Notedebasdepage"/>
      </w:pPr>
      <w:r>
        <w:rPr>
          <w:rStyle w:val="Appelnotedebasdep"/>
        </w:rPr>
        <w:footnoteRef/>
      </w:r>
      <w:r>
        <w:t xml:space="preserve"> Ceci a été utilisé sur une faible partie des données pour montrer la réduction des </w:t>
      </w:r>
      <w:proofErr w:type="spellStart"/>
      <w:r>
        <w:t>RFIs</w:t>
      </w:r>
      <w:proofErr w:type="spellEnd"/>
      <w:r>
        <w:t xml:space="preserve"> avec la médiane.</w:t>
      </w:r>
    </w:p>
  </w:footnote>
  <w:footnote w:id="3">
    <w:p w:rsidR="00F3742B" w:rsidRDefault="00F3742B">
      <w:pPr>
        <w:pStyle w:val="Notedebasdepage"/>
      </w:pPr>
      <w:r>
        <w:rPr>
          <w:rStyle w:val="Appelnotedebasdep"/>
        </w:rPr>
        <w:footnoteRef/>
      </w:r>
      <w:r>
        <w:t xml:space="preserve"> Faute de mémoire vive suffisante en batch on ne peut effectuer des calculs de médiane sur un fichier signal complet.</w:t>
      </w:r>
    </w:p>
  </w:footnote>
  <w:footnote w:id="4">
    <w:p w:rsidR="00F3742B" w:rsidRDefault="00F3742B" w:rsidP="00354271">
      <w:pPr>
        <w:pStyle w:val="Notedebasdepage"/>
        <w:jc w:val="both"/>
      </w:pPr>
      <w:r>
        <w:rPr>
          <w:rStyle w:val="Appelnotedebasdep"/>
        </w:rPr>
        <w:footnoteRef/>
      </w:r>
      <w:r>
        <w:t xml:space="preserve"> La loi de la somme du carré de 2 variables gaussiennes est un </w:t>
      </w:r>
      <w:r>
        <w:rPr>
          <w:rFonts w:ascii="Symbol" w:hAnsi="Symbol"/>
        </w:rPr>
        <w:t></w:t>
      </w:r>
      <w:r w:rsidRPr="002E01C7">
        <w:rPr>
          <w:vertAlign w:val="superscript"/>
        </w:rPr>
        <w:t>2</w:t>
      </w:r>
      <w:r>
        <w:rPr>
          <w:vertAlign w:val="superscript"/>
        </w:rPr>
        <w:t xml:space="preserve"> </w:t>
      </w:r>
      <w:r>
        <w:t>à 2 degré de liberté, soit une exponentielle</w:t>
      </w:r>
    </w:p>
  </w:footnote>
  <w:footnote w:id="5">
    <w:p w:rsidR="00F3742B" w:rsidRDefault="00F3742B">
      <w:pPr>
        <w:pStyle w:val="Notedebasdepage"/>
      </w:pPr>
      <w:r>
        <w:rPr>
          <w:rStyle w:val="Appelnotedebasdep"/>
        </w:rPr>
        <w:footnoteRef/>
      </w:r>
      <w:r>
        <w:t xml:space="preserve"> On évite des influences éventuelles de la raie à 1420MHz en se limitant à 1415MHz.</w:t>
      </w:r>
    </w:p>
  </w:footnote>
  <w:footnote w:id="6">
    <w:p w:rsidR="00F3742B" w:rsidRDefault="00F3742B">
      <w:pPr>
        <w:pStyle w:val="Notedebasdepage"/>
      </w:pPr>
      <w:r>
        <w:rPr>
          <w:rStyle w:val="Appelnotedebasdep"/>
        </w:rPr>
        <w:footnoteRef/>
      </w:r>
      <w:r>
        <w:t xml:space="preserve"> On en a respectivement (500, 50, 20, 10, 5).</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B94967"/>
    <w:multiLevelType w:val="multilevel"/>
    <w:tmpl w:val="040C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
    <w:nsid w:val="08C81BBA"/>
    <w:multiLevelType w:val="hybridMultilevel"/>
    <w:tmpl w:val="EC4A5F5E"/>
    <w:lvl w:ilvl="0" w:tplc="33B86E26">
      <w:start w:val="1"/>
      <w:numFmt w:val="bullet"/>
      <w:lvlText w:val=""/>
      <w:lvlJc w:val="left"/>
      <w:pPr>
        <w:tabs>
          <w:tab w:val="num" w:pos="360"/>
        </w:tabs>
        <w:ind w:left="360" w:hanging="360"/>
      </w:pPr>
      <w:rPr>
        <w:rFonts w:ascii="Symbol" w:hAnsi="Symbol" w:cs="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nsid w:val="09DD1AB9"/>
    <w:multiLevelType w:val="hybridMultilevel"/>
    <w:tmpl w:val="C44AD18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3">
    <w:nsid w:val="14083849"/>
    <w:multiLevelType w:val="hybridMultilevel"/>
    <w:tmpl w:val="F78686EA"/>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nsid w:val="16E61BF2"/>
    <w:multiLevelType w:val="multilevel"/>
    <w:tmpl w:val="040C001F"/>
    <w:lvl w:ilvl="0">
      <w:start w:val="1"/>
      <w:numFmt w:val="decimal"/>
      <w:lvlText w:val="%1."/>
      <w:lvlJc w:val="left"/>
      <w:pPr>
        <w:tabs>
          <w:tab w:val="num" w:pos="360"/>
        </w:tabs>
        <w:ind w:left="360" w:hanging="360"/>
      </w:pPr>
    </w:lvl>
    <w:lvl w:ilvl="1">
      <w:start w:val="1"/>
      <w:numFmt w:val="decimal"/>
      <w:lvlText w:val="%1.%2."/>
      <w:lvlJc w:val="left"/>
      <w:pPr>
        <w:tabs>
          <w:tab w:val="num" w:pos="1080"/>
        </w:tabs>
        <w:ind w:left="792" w:hanging="432"/>
      </w:pPr>
    </w:lvl>
    <w:lvl w:ilvl="2">
      <w:start w:val="1"/>
      <w:numFmt w:val="decimal"/>
      <w:lvlText w:val="%1.%2.%3."/>
      <w:lvlJc w:val="left"/>
      <w:pPr>
        <w:tabs>
          <w:tab w:val="num" w:pos="1800"/>
        </w:tabs>
        <w:ind w:left="1224" w:hanging="504"/>
      </w:pPr>
    </w:lvl>
    <w:lvl w:ilvl="3">
      <w:start w:val="1"/>
      <w:numFmt w:val="decimal"/>
      <w:lvlText w:val="%1.%2.%3.%4."/>
      <w:lvlJc w:val="left"/>
      <w:pPr>
        <w:tabs>
          <w:tab w:val="num" w:pos="2160"/>
        </w:tabs>
        <w:ind w:left="1728" w:hanging="648"/>
      </w:pPr>
    </w:lvl>
    <w:lvl w:ilvl="4">
      <w:start w:val="1"/>
      <w:numFmt w:val="decimal"/>
      <w:lvlText w:val="%1.%2.%3.%4.%5."/>
      <w:lvlJc w:val="left"/>
      <w:pPr>
        <w:tabs>
          <w:tab w:val="num" w:pos="2880"/>
        </w:tabs>
        <w:ind w:left="2232" w:hanging="792"/>
      </w:pPr>
    </w:lvl>
    <w:lvl w:ilvl="5">
      <w:start w:val="1"/>
      <w:numFmt w:val="decimal"/>
      <w:lvlText w:val="%1.%2.%3.%4.%5.%6."/>
      <w:lvlJc w:val="left"/>
      <w:pPr>
        <w:tabs>
          <w:tab w:val="num" w:pos="3600"/>
        </w:tabs>
        <w:ind w:left="2736" w:hanging="936"/>
      </w:pPr>
    </w:lvl>
    <w:lvl w:ilvl="6">
      <w:start w:val="1"/>
      <w:numFmt w:val="decimal"/>
      <w:lvlText w:val="%1.%2.%3.%4.%5.%6.%7."/>
      <w:lvlJc w:val="left"/>
      <w:pPr>
        <w:tabs>
          <w:tab w:val="num" w:pos="4320"/>
        </w:tabs>
        <w:ind w:left="3240" w:hanging="1080"/>
      </w:pPr>
    </w:lvl>
    <w:lvl w:ilvl="7">
      <w:start w:val="1"/>
      <w:numFmt w:val="decimal"/>
      <w:lvlText w:val="%1.%2.%3.%4.%5.%6.%7.%8."/>
      <w:lvlJc w:val="left"/>
      <w:pPr>
        <w:tabs>
          <w:tab w:val="num" w:pos="4680"/>
        </w:tabs>
        <w:ind w:left="3744" w:hanging="1224"/>
      </w:pPr>
    </w:lvl>
    <w:lvl w:ilvl="8">
      <w:start w:val="1"/>
      <w:numFmt w:val="decimal"/>
      <w:lvlText w:val="%1.%2.%3.%4.%5.%6.%7.%8.%9."/>
      <w:lvlJc w:val="left"/>
      <w:pPr>
        <w:tabs>
          <w:tab w:val="num" w:pos="5400"/>
        </w:tabs>
        <w:ind w:left="4320" w:hanging="1440"/>
      </w:pPr>
    </w:lvl>
  </w:abstractNum>
  <w:abstractNum w:abstractNumId="5">
    <w:nsid w:val="1CF404D4"/>
    <w:multiLevelType w:val="hybridMultilevel"/>
    <w:tmpl w:val="DC6A85F0"/>
    <w:lvl w:ilvl="0" w:tplc="33B86E26">
      <w:start w:val="1"/>
      <w:numFmt w:val="bullet"/>
      <w:lvlText w:val=""/>
      <w:lvlJc w:val="left"/>
      <w:pPr>
        <w:tabs>
          <w:tab w:val="num" w:pos="360"/>
        </w:tabs>
        <w:ind w:left="360" w:hanging="360"/>
      </w:pPr>
      <w:rPr>
        <w:rFonts w:ascii="Symbol" w:hAnsi="Symbol" w:cs="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nsid w:val="2B633AA1"/>
    <w:multiLevelType w:val="hybridMultilevel"/>
    <w:tmpl w:val="F6F84758"/>
    <w:lvl w:ilvl="0" w:tplc="79681412">
      <w:start w:val="1"/>
      <w:numFmt w:val="decimal"/>
      <w:lvlText w:val="%1."/>
      <w:lvlJc w:val="left"/>
      <w:pPr>
        <w:tabs>
          <w:tab w:val="num" w:pos="360"/>
        </w:tabs>
        <w:ind w:left="360" w:hanging="360"/>
      </w:pPr>
      <w:rPr>
        <w:rFonts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nsid w:val="2D635EC2"/>
    <w:multiLevelType w:val="hybridMultilevel"/>
    <w:tmpl w:val="E9A617D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nsid w:val="305850D7"/>
    <w:multiLevelType w:val="hybridMultilevel"/>
    <w:tmpl w:val="FB36FA5E"/>
    <w:lvl w:ilvl="0" w:tplc="33B86E26">
      <w:start w:val="1"/>
      <w:numFmt w:val="bullet"/>
      <w:lvlText w:val=""/>
      <w:lvlJc w:val="left"/>
      <w:pPr>
        <w:tabs>
          <w:tab w:val="num" w:pos="360"/>
        </w:tabs>
        <w:ind w:left="360" w:hanging="360"/>
      </w:pPr>
      <w:rPr>
        <w:rFonts w:ascii="Symbol" w:hAnsi="Symbol" w:cs="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
    <w:nsid w:val="3703243F"/>
    <w:multiLevelType w:val="multilevel"/>
    <w:tmpl w:val="94D88A0A"/>
    <w:lvl w:ilvl="0">
      <w:start w:val="1"/>
      <w:numFmt w:val="bullet"/>
      <w:lvlText w:val=""/>
      <w:lvlJc w:val="left"/>
      <w:pPr>
        <w:tabs>
          <w:tab w:val="num" w:pos="360"/>
        </w:tabs>
        <w:ind w:left="360" w:hanging="360"/>
      </w:pPr>
      <w:rPr>
        <w:rFonts w:ascii="Symbol" w:hAnsi="Symbol" w:cs="Symbol" w:hint="default"/>
      </w:r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0">
    <w:nsid w:val="39F52EC6"/>
    <w:multiLevelType w:val="hybridMultilevel"/>
    <w:tmpl w:val="171259B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1">
    <w:nsid w:val="3A896B5E"/>
    <w:multiLevelType w:val="hybridMultilevel"/>
    <w:tmpl w:val="64103FDC"/>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2">
    <w:nsid w:val="421F610E"/>
    <w:multiLevelType w:val="hybridMultilevel"/>
    <w:tmpl w:val="C5BE96B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nsid w:val="42A20128"/>
    <w:multiLevelType w:val="hybridMultilevel"/>
    <w:tmpl w:val="FBC694BC"/>
    <w:lvl w:ilvl="0" w:tplc="33B86E26">
      <w:start w:val="1"/>
      <w:numFmt w:val="bullet"/>
      <w:lvlText w:val=""/>
      <w:lvlJc w:val="left"/>
      <w:pPr>
        <w:tabs>
          <w:tab w:val="num" w:pos="360"/>
        </w:tabs>
        <w:ind w:left="360" w:hanging="360"/>
      </w:pPr>
      <w:rPr>
        <w:rFonts w:ascii="Symbol" w:hAnsi="Symbol" w:cs="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4">
    <w:nsid w:val="49AC054B"/>
    <w:multiLevelType w:val="multilevel"/>
    <w:tmpl w:val="E5F0B1A4"/>
    <w:lvl w:ilvl="0">
      <w:start w:val="1"/>
      <w:numFmt w:val="decimal"/>
      <w:pStyle w:val="Titre1"/>
      <w:lvlText w:val="%1"/>
      <w:lvlJc w:val="left"/>
      <w:pPr>
        <w:tabs>
          <w:tab w:val="num" w:pos="432"/>
        </w:tabs>
        <w:ind w:left="432" w:hanging="432"/>
      </w:pPr>
      <w:rPr>
        <w:lang w:val="en-GB"/>
      </w:rPr>
    </w:lvl>
    <w:lvl w:ilvl="1">
      <w:start w:val="1"/>
      <w:numFmt w:val="decimal"/>
      <w:pStyle w:val="Titre2"/>
      <w:lvlText w:val="%1.%2"/>
      <w:lvlJc w:val="left"/>
      <w:pPr>
        <w:tabs>
          <w:tab w:val="num" w:pos="576"/>
        </w:tabs>
        <w:ind w:left="576" w:hanging="576"/>
      </w:pPr>
      <w:rPr>
        <w:rFonts w:ascii="Times New Roman" w:hAnsi="Times New Roman" w:cs="Times New Roman"/>
        <w:b w:val="0"/>
        <w:bCs w:val="0"/>
        <w:i w:val="0"/>
        <w:iCs w:val="0"/>
        <w:caps w:val="0"/>
        <w:smallCaps w:val="0"/>
        <w:strike w:val="0"/>
        <w:dstrike w:val="0"/>
        <w:outline w:val="0"/>
        <w:shadow w:val="0"/>
        <w:emboss w:val="0"/>
        <w:imprint w:val="0"/>
        <w:noProof w:val="0"/>
        <w:snapToGrid w:val="0"/>
        <w:vanish w:val="0"/>
        <w:color w:val="000000"/>
        <w:spacing w:val="0"/>
        <w:w w:val="0"/>
        <w:kern w:val="0"/>
        <w:position w:val="0"/>
        <w:szCs w:val="0"/>
        <w:u w:val="none"/>
        <w:vertAlign w:val="baseline"/>
        <w:em w:val="none"/>
      </w:rPr>
    </w:lvl>
    <w:lvl w:ilvl="2">
      <w:start w:val="1"/>
      <w:numFmt w:val="decimal"/>
      <w:pStyle w:val="Titre3"/>
      <w:lvlText w:val="%1.%2.%3"/>
      <w:lvlJc w:val="left"/>
      <w:pPr>
        <w:tabs>
          <w:tab w:val="num" w:pos="3130"/>
        </w:tabs>
        <w:ind w:left="3130" w:hanging="720"/>
      </w:pPr>
    </w:lvl>
    <w:lvl w:ilvl="3">
      <w:start w:val="1"/>
      <w:numFmt w:val="decimal"/>
      <w:pStyle w:val="Titre4"/>
      <w:lvlText w:val="%1.%2.%3.%4"/>
      <w:lvlJc w:val="left"/>
      <w:pPr>
        <w:tabs>
          <w:tab w:val="num" w:pos="864"/>
        </w:tabs>
        <w:ind w:left="864" w:hanging="864"/>
      </w:pPr>
    </w:lvl>
    <w:lvl w:ilvl="4">
      <w:start w:val="1"/>
      <w:numFmt w:val="decimal"/>
      <w:pStyle w:val="Titre5"/>
      <w:lvlText w:val="%1.%2.%3.%4.%5"/>
      <w:lvlJc w:val="left"/>
      <w:pPr>
        <w:tabs>
          <w:tab w:val="num" w:pos="1008"/>
        </w:tabs>
        <w:ind w:left="1008" w:hanging="1008"/>
      </w:pPr>
    </w:lvl>
    <w:lvl w:ilvl="5">
      <w:start w:val="1"/>
      <w:numFmt w:val="decimal"/>
      <w:pStyle w:val="Titre6"/>
      <w:lvlText w:val="%1.%2.%3.%4.%5.%6"/>
      <w:lvlJc w:val="left"/>
      <w:pPr>
        <w:tabs>
          <w:tab w:val="num" w:pos="1152"/>
        </w:tabs>
        <w:ind w:left="1152" w:hanging="1152"/>
      </w:pPr>
    </w:lvl>
    <w:lvl w:ilvl="6">
      <w:start w:val="1"/>
      <w:numFmt w:val="decimal"/>
      <w:pStyle w:val="Titre7"/>
      <w:lvlText w:val="%1.%2.%3.%4.%5.%6.%7"/>
      <w:lvlJc w:val="left"/>
      <w:pPr>
        <w:tabs>
          <w:tab w:val="num" w:pos="1296"/>
        </w:tabs>
        <w:ind w:left="1296" w:hanging="1296"/>
      </w:pPr>
    </w:lvl>
    <w:lvl w:ilvl="7">
      <w:start w:val="1"/>
      <w:numFmt w:val="decimal"/>
      <w:pStyle w:val="Titre8"/>
      <w:lvlText w:val="%1.%2.%3.%4.%5.%6.%7.%8"/>
      <w:lvlJc w:val="left"/>
      <w:pPr>
        <w:tabs>
          <w:tab w:val="num" w:pos="1440"/>
        </w:tabs>
        <w:ind w:left="1440" w:hanging="1440"/>
      </w:pPr>
    </w:lvl>
    <w:lvl w:ilvl="8">
      <w:start w:val="1"/>
      <w:numFmt w:val="decimal"/>
      <w:pStyle w:val="Titre9"/>
      <w:lvlText w:val="%1.%2.%3.%4.%5.%6.%7.%8.%9"/>
      <w:lvlJc w:val="left"/>
      <w:pPr>
        <w:tabs>
          <w:tab w:val="num" w:pos="1584"/>
        </w:tabs>
        <w:ind w:left="1584" w:hanging="1584"/>
      </w:pPr>
    </w:lvl>
  </w:abstractNum>
  <w:abstractNum w:abstractNumId="15">
    <w:nsid w:val="4C552238"/>
    <w:multiLevelType w:val="hybridMultilevel"/>
    <w:tmpl w:val="058E54F0"/>
    <w:lvl w:ilvl="0" w:tplc="33B86E26">
      <w:start w:val="1"/>
      <w:numFmt w:val="bullet"/>
      <w:lvlText w:val=""/>
      <w:lvlJc w:val="left"/>
      <w:pPr>
        <w:tabs>
          <w:tab w:val="num" w:pos="360"/>
        </w:tabs>
        <w:ind w:left="360" w:hanging="360"/>
      </w:pPr>
      <w:rPr>
        <w:rFonts w:ascii="Symbol" w:hAnsi="Symbol" w:cs="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nsid w:val="4CCE41D2"/>
    <w:multiLevelType w:val="hybridMultilevel"/>
    <w:tmpl w:val="ABCE6FA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7">
    <w:nsid w:val="5F34154C"/>
    <w:multiLevelType w:val="hybridMultilevel"/>
    <w:tmpl w:val="5CAE03F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nsid w:val="607004BE"/>
    <w:multiLevelType w:val="multilevel"/>
    <w:tmpl w:val="DC6A85F0"/>
    <w:lvl w:ilvl="0">
      <w:start w:val="1"/>
      <w:numFmt w:val="bullet"/>
      <w:lvlText w:val=""/>
      <w:lvlJc w:val="left"/>
      <w:pPr>
        <w:tabs>
          <w:tab w:val="num" w:pos="360"/>
        </w:tabs>
        <w:ind w:left="360" w:hanging="360"/>
      </w:pPr>
      <w:rPr>
        <w:rFonts w:ascii="Symbol" w:hAnsi="Symbol" w:cs="Symbol"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nsid w:val="658742AC"/>
    <w:multiLevelType w:val="hybridMultilevel"/>
    <w:tmpl w:val="18B67080"/>
    <w:lvl w:ilvl="0" w:tplc="040C000F">
      <w:start w:val="1"/>
      <w:numFmt w:val="decimal"/>
      <w:lvlText w:val="%1."/>
      <w:lvlJc w:val="left"/>
      <w:pPr>
        <w:tabs>
          <w:tab w:val="num" w:pos="720"/>
        </w:tabs>
        <w:ind w:left="720" w:hanging="360"/>
      </w:pPr>
      <w:rPr>
        <w:rFonts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0">
    <w:nsid w:val="6E371167"/>
    <w:multiLevelType w:val="hybridMultilevel"/>
    <w:tmpl w:val="9B16095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1">
    <w:nsid w:val="7A600110"/>
    <w:multiLevelType w:val="hybridMultilevel"/>
    <w:tmpl w:val="F692FAF2"/>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2">
    <w:nsid w:val="7B8625FF"/>
    <w:multiLevelType w:val="hybridMultilevel"/>
    <w:tmpl w:val="CFF8D66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4"/>
  </w:num>
  <w:num w:numId="2">
    <w:abstractNumId w:val="14"/>
  </w:num>
  <w:num w:numId="3">
    <w:abstractNumId w:val="0"/>
  </w:num>
  <w:num w:numId="4">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9"/>
  </w:num>
  <w:num w:numId="6">
    <w:abstractNumId w:val="5"/>
  </w:num>
  <w:num w:numId="7">
    <w:abstractNumId w:val="18"/>
  </w:num>
  <w:num w:numId="8">
    <w:abstractNumId w:val="6"/>
  </w:num>
  <w:num w:numId="9">
    <w:abstractNumId w:val="8"/>
  </w:num>
  <w:num w:numId="10">
    <w:abstractNumId w:val="15"/>
  </w:num>
  <w:num w:numId="11">
    <w:abstractNumId w:val="1"/>
  </w:num>
  <w:num w:numId="12">
    <w:abstractNumId w:val="2"/>
  </w:num>
  <w:num w:numId="13">
    <w:abstractNumId w:val="13"/>
  </w:num>
  <w:num w:numId="14">
    <w:abstractNumId w:val="12"/>
  </w:num>
  <w:num w:numId="15">
    <w:abstractNumId w:val="21"/>
  </w:num>
  <w:num w:numId="16">
    <w:abstractNumId w:val="19"/>
  </w:num>
  <w:num w:numId="17">
    <w:abstractNumId w:val="10"/>
  </w:num>
  <w:num w:numId="18">
    <w:abstractNumId w:val="7"/>
  </w:num>
  <w:num w:numId="19">
    <w:abstractNumId w:val="3"/>
  </w:num>
  <w:num w:numId="20">
    <w:abstractNumId w:val="11"/>
  </w:num>
  <w:num w:numId="21">
    <w:abstractNumId w:val="20"/>
  </w:num>
  <w:num w:numId="22">
    <w:abstractNumId w:val="16"/>
  </w:num>
  <w:num w:numId="23">
    <w:abstractNumId w:val="22"/>
  </w:num>
  <w:num w:numId="24">
    <w:abstractNumId w:val="17"/>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6"/>
  <w:proofState w:spelling="clean" w:grammar="clean"/>
  <w:stylePaneFormatFilter w:val="3F01"/>
  <w:defaultTabStop w:val="708"/>
  <w:hyphenationZone w:val="425"/>
  <w:drawingGridHorizontalSpacing w:val="120"/>
  <w:displayHorizontalDrawingGridEvery w:val="2"/>
  <w:displayVerticalDrawingGridEvery w:val="2"/>
  <w:noPunctuationKerning/>
  <w:characterSpacingControl w:val="doNotCompress"/>
  <w:footnotePr>
    <w:footnote w:id="-1"/>
    <w:footnote w:id="0"/>
  </w:footnotePr>
  <w:endnotePr>
    <w:endnote w:id="-1"/>
    <w:endnote w:id="0"/>
  </w:endnotePr>
  <w:compat>
    <w:useFELayout/>
  </w:compat>
  <w:rsids>
    <w:rsidRoot w:val="00BD0092"/>
    <w:rsid w:val="000034D9"/>
    <w:rsid w:val="00003716"/>
    <w:rsid w:val="00011DBD"/>
    <w:rsid w:val="0003062D"/>
    <w:rsid w:val="00040FFB"/>
    <w:rsid w:val="00050068"/>
    <w:rsid w:val="000638EE"/>
    <w:rsid w:val="0006715F"/>
    <w:rsid w:val="000911D6"/>
    <w:rsid w:val="00096666"/>
    <w:rsid w:val="000976B5"/>
    <w:rsid w:val="000A03E6"/>
    <w:rsid w:val="000A5F96"/>
    <w:rsid w:val="000B319A"/>
    <w:rsid w:val="000B5A8D"/>
    <w:rsid w:val="000C4446"/>
    <w:rsid w:val="000D1FB3"/>
    <w:rsid w:val="000E3252"/>
    <w:rsid w:val="000F0103"/>
    <w:rsid w:val="000F2D24"/>
    <w:rsid w:val="000F773A"/>
    <w:rsid w:val="00100A6B"/>
    <w:rsid w:val="001012B7"/>
    <w:rsid w:val="00101E20"/>
    <w:rsid w:val="0010303A"/>
    <w:rsid w:val="001116F1"/>
    <w:rsid w:val="001238C6"/>
    <w:rsid w:val="00181472"/>
    <w:rsid w:val="0018286C"/>
    <w:rsid w:val="00182E18"/>
    <w:rsid w:val="001846D4"/>
    <w:rsid w:val="00193036"/>
    <w:rsid w:val="001A63AE"/>
    <w:rsid w:val="001A6940"/>
    <w:rsid w:val="001A773F"/>
    <w:rsid w:val="001C1A33"/>
    <w:rsid w:val="001C1F65"/>
    <w:rsid w:val="001C2E9D"/>
    <w:rsid w:val="001C6B27"/>
    <w:rsid w:val="001D3F06"/>
    <w:rsid w:val="001D5B4D"/>
    <w:rsid w:val="001E722F"/>
    <w:rsid w:val="001F38B8"/>
    <w:rsid w:val="001F5885"/>
    <w:rsid w:val="00214BB1"/>
    <w:rsid w:val="00214C00"/>
    <w:rsid w:val="002179AC"/>
    <w:rsid w:val="00222855"/>
    <w:rsid w:val="00223C3A"/>
    <w:rsid w:val="00241D03"/>
    <w:rsid w:val="00246E6C"/>
    <w:rsid w:val="0025593F"/>
    <w:rsid w:val="00256E13"/>
    <w:rsid w:val="00265AE5"/>
    <w:rsid w:val="0027513C"/>
    <w:rsid w:val="00282AA7"/>
    <w:rsid w:val="0028463C"/>
    <w:rsid w:val="0028647E"/>
    <w:rsid w:val="00294502"/>
    <w:rsid w:val="00297862"/>
    <w:rsid w:val="002B3C1D"/>
    <w:rsid w:val="002C1597"/>
    <w:rsid w:val="002C46F1"/>
    <w:rsid w:val="002C652E"/>
    <w:rsid w:val="002E01C7"/>
    <w:rsid w:val="002F130F"/>
    <w:rsid w:val="002F506F"/>
    <w:rsid w:val="003269D6"/>
    <w:rsid w:val="00327296"/>
    <w:rsid w:val="00331671"/>
    <w:rsid w:val="00341578"/>
    <w:rsid w:val="00351567"/>
    <w:rsid w:val="00352648"/>
    <w:rsid w:val="00354271"/>
    <w:rsid w:val="0036514E"/>
    <w:rsid w:val="003665F1"/>
    <w:rsid w:val="003771BE"/>
    <w:rsid w:val="003B7BB7"/>
    <w:rsid w:val="003C0EFE"/>
    <w:rsid w:val="003D5541"/>
    <w:rsid w:val="003E1202"/>
    <w:rsid w:val="003E5292"/>
    <w:rsid w:val="003F1C5A"/>
    <w:rsid w:val="003F5104"/>
    <w:rsid w:val="00400233"/>
    <w:rsid w:val="00420478"/>
    <w:rsid w:val="00425D2E"/>
    <w:rsid w:val="00433245"/>
    <w:rsid w:val="004479A8"/>
    <w:rsid w:val="004577AB"/>
    <w:rsid w:val="00457A57"/>
    <w:rsid w:val="004714A3"/>
    <w:rsid w:val="00471D7F"/>
    <w:rsid w:val="0048302D"/>
    <w:rsid w:val="00487D7E"/>
    <w:rsid w:val="004A2074"/>
    <w:rsid w:val="004A4402"/>
    <w:rsid w:val="004A6190"/>
    <w:rsid w:val="004D5A5A"/>
    <w:rsid w:val="004E2E91"/>
    <w:rsid w:val="004E7302"/>
    <w:rsid w:val="004F0E46"/>
    <w:rsid w:val="00506E84"/>
    <w:rsid w:val="00510BDE"/>
    <w:rsid w:val="00526F5C"/>
    <w:rsid w:val="005455BB"/>
    <w:rsid w:val="005455FD"/>
    <w:rsid w:val="00553D37"/>
    <w:rsid w:val="00562C48"/>
    <w:rsid w:val="00570AD8"/>
    <w:rsid w:val="0057259D"/>
    <w:rsid w:val="00581172"/>
    <w:rsid w:val="00593AC0"/>
    <w:rsid w:val="00594050"/>
    <w:rsid w:val="005940DF"/>
    <w:rsid w:val="005A3F1B"/>
    <w:rsid w:val="005A71E3"/>
    <w:rsid w:val="005B7C93"/>
    <w:rsid w:val="005C0B0D"/>
    <w:rsid w:val="005C5098"/>
    <w:rsid w:val="005F650B"/>
    <w:rsid w:val="006020ED"/>
    <w:rsid w:val="00617FE7"/>
    <w:rsid w:val="00620C22"/>
    <w:rsid w:val="00621482"/>
    <w:rsid w:val="00624DCA"/>
    <w:rsid w:val="00634F62"/>
    <w:rsid w:val="00644803"/>
    <w:rsid w:val="00646D4D"/>
    <w:rsid w:val="00650CEB"/>
    <w:rsid w:val="00655166"/>
    <w:rsid w:val="00660012"/>
    <w:rsid w:val="006633C6"/>
    <w:rsid w:val="00667567"/>
    <w:rsid w:val="006800B3"/>
    <w:rsid w:val="006B0677"/>
    <w:rsid w:val="006B5CB8"/>
    <w:rsid w:val="006B6F63"/>
    <w:rsid w:val="006B7CFB"/>
    <w:rsid w:val="006D05AC"/>
    <w:rsid w:val="006D3564"/>
    <w:rsid w:val="006F04FE"/>
    <w:rsid w:val="006F0A27"/>
    <w:rsid w:val="007032ED"/>
    <w:rsid w:val="00704DC9"/>
    <w:rsid w:val="0071126F"/>
    <w:rsid w:val="00714DC5"/>
    <w:rsid w:val="00721C70"/>
    <w:rsid w:val="00724877"/>
    <w:rsid w:val="00724906"/>
    <w:rsid w:val="00730860"/>
    <w:rsid w:val="007416E6"/>
    <w:rsid w:val="00741771"/>
    <w:rsid w:val="00745205"/>
    <w:rsid w:val="0075779D"/>
    <w:rsid w:val="00766F58"/>
    <w:rsid w:val="007855D2"/>
    <w:rsid w:val="007964A6"/>
    <w:rsid w:val="007A03D4"/>
    <w:rsid w:val="007A161C"/>
    <w:rsid w:val="007A2C33"/>
    <w:rsid w:val="007C4F78"/>
    <w:rsid w:val="007D4152"/>
    <w:rsid w:val="007F17A9"/>
    <w:rsid w:val="007F57A6"/>
    <w:rsid w:val="007F771A"/>
    <w:rsid w:val="0082412A"/>
    <w:rsid w:val="00824E73"/>
    <w:rsid w:val="008424D3"/>
    <w:rsid w:val="00843401"/>
    <w:rsid w:val="00844718"/>
    <w:rsid w:val="00863AE5"/>
    <w:rsid w:val="00874D15"/>
    <w:rsid w:val="00893262"/>
    <w:rsid w:val="00893FB8"/>
    <w:rsid w:val="008956CE"/>
    <w:rsid w:val="008F513F"/>
    <w:rsid w:val="009013F8"/>
    <w:rsid w:val="00905847"/>
    <w:rsid w:val="00910326"/>
    <w:rsid w:val="00911ECD"/>
    <w:rsid w:val="009154BB"/>
    <w:rsid w:val="00925B60"/>
    <w:rsid w:val="00936E83"/>
    <w:rsid w:val="009445F1"/>
    <w:rsid w:val="00951930"/>
    <w:rsid w:val="00953A81"/>
    <w:rsid w:val="00965143"/>
    <w:rsid w:val="0096658A"/>
    <w:rsid w:val="00972E18"/>
    <w:rsid w:val="0099592F"/>
    <w:rsid w:val="009A4E64"/>
    <w:rsid w:val="009B0498"/>
    <w:rsid w:val="009B74BC"/>
    <w:rsid w:val="009C0118"/>
    <w:rsid w:val="009C04F3"/>
    <w:rsid w:val="009C1596"/>
    <w:rsid w:val="009C391A"/>
    <w:rsid w:val="009F37C3"/>
    <w:rsid w:val="00A00109"/>
    <w:rsid w:val="00A158FB"/>
    <w:rsid w:val="00A2548E"/>
    <w:rsid w:val="00A25AB7"/>
    <w:rsid w:val="00A43150"/>
    <w:rsid w:val="00A43C8D"/>
    <w:rsid w:val="00A531A4"/>
    <w:rsid w:val="00A6399E"/>
    <w:rsid w:val="00A65681"/>
    <w:rsid w:val="00A66854"/>
    <w:rsid w:val="00A72395"/>
    <w:rsid w:val="00A87BB4"/>
    <w:rsid w:val="00A90261"/>
    <w:rsid w:val="00AA02C9"/>
    <w:rsid w:val="00AA0A1D"/>
    <w:rsid w:val="00AA4B6D"/>
    <w:rsid w:val="00AB15F3"/>
    <w:rsid w:val="00AB474B"/>
    <w:rsid w:val="00AB6524"/>
    <w:rsid w:val="00AC1AF0"/>
    <w:rsid w:val="00AC381D"/>
    <w:rsid w:val="00AC5C47"/>
    <w:rsid w:val="00AC656A"/>
    <w:rsid w:val="00AD252A"/>
    <w:rsid w:val="00AD4068"/>
    <w:rsid w:val="00AE5EFC"/>
    <w:rsid w:val="00AF41E3"/>
    <w:rsid w:val="00B02555"/>
    <w:rsid w:val="00B07BCC"/>
    <w:rsid w:val="00B13104"/>
    <w:rsid w:val="00B24C35"/>
    <w:rsid w:val="00B2786A"/>
    <w:rsid w:val="00B3129D"/>
    <w:rsid w:val="00B67EBE"/>
    <w:rsid w:val="00B82354"/>
    <w:rsid w:val="00B9184F"/>
    <w:rsid w:val="00B94A0F"/>
    <w:rsid w:val="00BA32C5"/>
    <w:rsid w:val="00BA7564"/>
    <w:rsid w:val="00BA7867"/>
    <w:rsid w:val="00BB2914"/>
    <w:rsid w:val="00BB6512"/>
    <w:rsid w:val="00BD0092"/>
    <w:rsid w:val="00BD473B"/>
    <w:rsid w:val="00BD5716"/>
    <w:rsid w:val="00C02810"/>
    <w:rsid w:val="00C136F3"/>
    <w:rsid w:val="00C3149E"/>
    <w:rsid w:val="00C34F1F"/>
    <w:rsid w:val="00C81CE1"/>
    <w:rsid w:val="00C8348E"/>
    <w:rsid w:val="00CA21E7"/>
    <w:rsid w:val="00CC1637"/>
    <w:rsid w:val="00CE59A0"/>
    <w:rsid w:val="00CF4D6B"/>
    <w:rsid w:val="00D2304D"/>
    <w:rsid w:val="00D322DC"/>
    <w:rsid w:val="00D35F05"/>
    <w:rsid w:val="00D449E0"/>
    <w:rsid w:val="00D5355C"/>
    <w:rsid w:val="00D607A3"/>
    <w:rsid w:val="00D673BC"/>
    <w:rsid w:val="00D67948"/>
    <w:rsid w:val="00D70742"/>
    <w:rsid w:val="00D73D59"/>
    <w:rsid w:val="00D84A9C"/>
    <w:rsid w:val="00DA45EA"/>
    <w:rsid w:val="00DA4C38"/>
    <w:rsid w:val="00DA6B51"/>
    <w:rsid w:val="00DB1033"/>
    <w:rsid w:val="00DD0EBE"/>
    <w:rsid w:val="00DD6E13"/>
    <w:rsid w:val="00DE0EBD"/>
    <w:rsid w:val="00DE33FE"/>
    <w:rsid w:val="00DE4CD4"/>
    <w:rsid w:val="00DE6B57"/>
    <w:rsid w:val="00DF0D30"/>
    <w:rsid w:val="00E00AB3"/>
    <w:rsid w:val="00E1398A"/>
    <w:rsid w:val="00E216D4"/>
    <w:rsid w:val="00E3380F"/>
    <w:rsid w:val="00E42E40"/>
    <w:rsid w:val="00E439B2"/>
    <w:rsid w:val="00E44A93"/>
    <w:rsid w:val="00E5497C"/>
    <w:rsid w:val="00E82DA9"/>
    <w:rsid w:val="00E90337"/>
    <w:rsid w:val="00E964B0"/>
    <w:rsid w:val="00EA038E"/>
    <w:rsid w:val="00EA2094"/>
    <w:rsid w:val="00EB335B"/>
    <w:rsid w:val="00EC0C8F"/>
    <w:rsid w:val="00EE35C4"/>
    <w:rsid w:val="00EE46E5"/>
    <w:rsid w:val="00EF3126"/>
    <w:rsid w:val="00EF685B"/>
    <w:rsid w:val="00F02E7B"/>
    <w:rsid w:val="00F02F99"/>
    <w:rsid w:val="00F07560"/>
    <w:rsid w:val="00F109C8"/>
    <w:rsid w:val="00F12ED0"/>
    <w:rsid w:val="00F13100"/>
    <w:rsid w:val="00F32715"/>
    <w:rsid w:val="00F33217"/>
    <w:rsid w:val="00F3742B"/>
    <w:rsid w:val="00F4083C"/>
    <w:rsid w:val="00F429DE"/>
    <w:rsid w:val="00F57916"/>
    <w:rsid w:val="00F600C6"/>
    <w:rsid w:val="00F61816"/>
    <w:rsid w:val="00F65BCA"/>
    <w:rsid w:val="00F91921"/>
    <w:rsid w:val="00F94A38"/>
    <w:rsid w:val="00FA1F9F"/>
    <w:rsid w:val="00FA53B9"/>
    <w:rsid w:val="00FA7AD2"/>
    <w:rsid w:val="00FD5650"/>
    <w:rsid w:val="00FD599A"/>
    <w:rsid w:val="00FE6432"/>
    <w:rsid w:val="00FE7236"/>
  </w:rsids>
  <m:mathPr>
    <m:mathFont m:val="Cambria Math"/>
    <m:brkBin m:val="before"/>
    <m:brkBinSub m:val="--"/>
    <m:smallFrac m:val="off"/>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6">
      <o:colormenu v:ext="edit" strokecolor="none"/>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MS Mincho" w:hAnsi="Times New Roman" w:cs="Times New Roman"/>
        <w:lang w:val="fr-FR" w:eastAsia="fr-FR"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5940DF"/>
    <w:rPr>
      <w:sz w:val="24"/>
      <w:szCs w:val="24"/>
      <w:lang w:eastAsia="ja-JP"/>
    </w:rPr>
  </w:style>
  <w:style w:type="paragraph" w:styleId="Titre1">
    <w:name w:val="heading 1"/>
    <w:basedOn w:val="Normal"/>
    <w:next w:val="Normal"/>
    <w:link w:val="Titre1Car"/>
    <w:qFormat/>
    <w:rsid w:val="001E722F"/>
    <w:pPr>
      <w:keepNext/>
      <w:numPr>
        <w:numId w:val="2"/>
      </w:numPr>
      <w:spacing w:before="240" w:after="60"/>
      <w:outlineLvl w:val="0"/>
    </w:pPr>
    <w:rPr>
      <w:rFonts w:ascii="Arial" w:hAnsi="Arial" w:cs="Arial"/>
      <w:b/>
      <w:bCs/>
      <w:kern w:val="32"/>
      <w:sz w:val="32"/>
      <w:szCs w:val="32"/>
    </w:rPr>
  </w:style>
  <w:style w:type="paragraph" w:styleId="Titre2">
    <w:name w:val="heading 2"/>
    <w:basedOn w:val="Normal"/>
    <w:next w:val="Normal"/>
    <w:link w:val="Titre2Car"/>
    <w:qFormat/>
    <w:rsid w:val="001E722F"/>
    <w:pPr>
      <w:keepNext/>
      <w:numPr>
        <w:ilvl w:val="1"/>
        <w:numId w:val="2"/>
      </w:numPr>
      <w:spacing w:before="240" w:after="60"/>
      <w:outlineLvl w:val="1"/>
    </w:pPr>
    <w:rPr>
      <w:rFonts w:ascii="Arial" w:hAnsi="Arial" w:cs="Arial"/>
      <w:b/>
      <w:bCs/>
      <w:i/>
      <w:iCs/>
      <w:sz w:val="28"/>
      <w:szCs w:val="28"/>
    </w:rPr>
  </w:style>
  <w:style w:type="paragraph" w:styleId="Titre3">
    <w:name w:val="heading 3"/>
    <w:basedOn w:val="Normal"/>
    <w:next w:val="Normal"/>
    <w:link w:val="Titre3Car"/>
    <w:qFormat/>
    <w:rsid w:val="001E722F"/>
    <w:pPr>
      <w:keepNext/>
      <w:numPr>
        <w:ilvl w:val="2"/>
        <w:numId w:val="2"/>
      </w:numPr>
      <w:spacing w:before="240" w:after="60"/>
      <w:outlineLvl w:val="2"/>
    </w:pPr>
    <w:rPr>
      <w:rFonts w:ascii="Arial" w:hAnsi="Arial" w:cs="Arial"/>
      <w:b/>
      <w:bCs/>
      <w:sz w:val="26"/>
      <w:szCs w:val="26"/>
    </w:rPr>
  </w:style>
  <w:style w:type="paragraph" w:styleId="Titre4">
    <w:name w:val="heading 4"/>
    <w:basedOn w:val="Normal"/>
    <w:next w:val="Normal"/>
    <w:qFormat/>
    <w:rsid w:val="001E722F"/>
    <w:pPr>
      <w:keepNext/>
      <w:numPr>
        <w:ilvl w:val="3"/>
        <w:numId w:val="2"/>
      </w:numPr>
      <w:spacing w:before="240" w:after="60"/>
      <w:outlineLvl w:val="3"/>
    </w:pPr>
    <w:rPr>
      <w:b/>
      <w:bCs/>
      <w:sz w:val="28"/>
      <w:szCs w:val="28"/>
    </w:rPr>
  </w:style>
  <w:style w:type="paragraph" w:styleId="Titre5">
    <w:name w:val="heading 5"/>
    <w:basedOn w:val="Normal"/>
    <w:next w:val="Normal"/>
    <w:qFormat/>
    <w:rsid w:val="001E722F"/>
    <w:pPr>
      <w:numPr>
        <w:ilvl w:val="4"/>
        <w:numId w:val="2"/>
      </w:numPr>
      <w:spacing w:before="240" w:after="60"/>
      <w:outlineLvl w:val="4"/>
    </w:pPr>
    <w:rPr>
      <w:b/>
      <w:bCs/>
      <w:i/>
      <w:iCs/>
      <w:sz w:val="26"/>
      <w:szCs w:val="26"/>
    </w:rPr>
  </w:style>
  <w:style w:type="paragraph" w:styleId="Titre6">
    <w:name w:val="heading 6"/>
    <w:basedOn w:val="Normal"/>
    <w:next w:val="Normal"/>
    <w:qFormat/>
    <w:rsid w:val="001E722F"/>
    <w:pPr>
      <w:numPr>
        <w:ilvl w:val="5"/>
        <w:numId w:val="2"/>
      </w:numPr>
      <w:spacing w:before="240" w:after="60"/>
      <w:outlineLvl w:val="5"/>
    </w:pPr>
    <w:rPr>
      <w:b/>
      <w:bCs/>
    </w:rPr>
  </w:style>
  <w:style w:type="paragraph" w:styleId="Titre7">
    <w:name w:val="heading 7"/>
    <w:basedOn w:val="Normal"/>
    <w:next w:val="Normal"/>
    <w:qFormat/>
    <w:rsid w:val="001E722F"/>
    <w:pPr>
      <w:numPr>
        <w:ilvl w:val="6"/>
        <w:numId w:val="2"/>
      </w:numPr>
      <w:spacing w:before="240" w:after="60"/>
      <w:outlineLvl w:val="6"/>
    </w:pPr>
  </w:style>
  <w:style w:type="paragraph" w:styleId="Titre8">
    <w:name w:val="heading 8"/>
    <w:basedOn w:val="Normal"/>
    <w:next w:val="Normal"/>
    <w:qFormat/>
    <w:rsid w:val="001E722F"/>
    <w:pPr>
      <w:numPr>
        <w:ilvl w:val="7"/>
        <w:numId w:val="2"/>
      </w:numPr>
      <w:spacing w:before="240" w:after="60"/>
      <w:outlineLvl w:val="7"/>
    </w:pPr>
    <w:rPr>
      <w:i/>
      <w:iCs/>
    </w:rPr>
  </w:style>
  <w:style w:type="paragraph" w:styleId="Titre9">
    <w:name w:val="heading 9"/>
    <w:basedOn w:val="Normal"/>
    <w:next w:val="Normal"/>
    <w:qFormat/>
    <w:rsid w:val="001E722F"/>
    <w:pPr>
      <w:numPr>
        <w:ilvl w:val="8"/>
        <w:numId w:val="2"/>
      </w:numPr>
      <w:spacing w:before="240" w:after="60"/>
      <w:outlineLvl w:val="8"/>
    </w:pPr>
    <w:rPr>
      <w:rFonts w:ascii="Arial" w:hAnsi="Arial" w:cs="Arial"/>
    </w:rPr>
  </w:style>
  <w:style w:type="character" w:default="1" w:styleId="Policepardfaut">
    <w:name w:val="Default Paragraph Font"/>
    <w:uiPriority w:val="1"/>
    <w:semiHidden/>
    <w:unhideWhenUsed/>
  </w:style>
  <w:style w:type="table" w:default="1" w:styleId="TableauNormal">
    <w:name w:val="Normal Table"/>
    <w:uiPriority w:val="99"/>
    <w:semiHidden/>
    <w:unhideWhenUsed/>
    <w:qFormat/>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rsid w:val="001E722F"/>
    <w:rPr>
      <w:rFonts w:ascii="Arial" w:eastAsia="MS Mincho" w:hAnsi="Arial" w:cs="Arial"/>
      <w:b/>
      <w:bCs/>
      <w:kern w:val="32"/>
      <w:sz w:val="32"/>
      <w:szCs w:val="32"/>
      <w:lang w:val="fr-FR" w:eastAsia="ja-JP" w:bidi="ar-SA"/>
    </w:rPr>
  </w:style>
  <w:style w:type="paragraph" w:styleId="Notedebasdepage">
    <w:name w:val="footnote text"/>
    <w:basedOn w:val="Normal"/>
    <w:semiHidden/>
    <w:rsid w:val="00C02810"/>
    <w:rPr>
      <w:sz w:val="20"/>
      <w:szCs w:val="20"/>
    </w:rPr>
  </w:style>
  <w:style w:type="character" w:styleId="Appelnotedebasdep">
    <w:name w:val="footnote reference"/>
    <w:basedOn w:val="Policepardfaut"/>
    <w:semiHidden/>
    <w:rsid w:val="00C02810"/>
    <w:rPr>
      <w:vertAlign w:val="superscript"/>
    </w:rPr>
  </w:style>
  <w:style w:type="table" w:styleId="Grilledutableau">
    <w:name w:val="Table Grid"/>
    <w:basedOn w:val="TableauNormal"/>
    <w:rsid w:val="00A7239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gende">
    <w:name w:val="caption"/>
    <w:basedOn w:val="Normal"/>
    <w:next w:val="Normal"/>
    <w:qFormat/>
    <w:rsid w:val="00182E18"/>
    <w:pPr>
      <w:spacing w:before="120" w:after="120"/>
    </w:pPr>
    <w:rPr>
      <w:b/>
      <w:bCs/>
      <w:sz w:val="20"/>
      <w:szCs w:val="20"/>
    </w:rPr>
  </w:style>
  <w:style w:type="character" w:styleId="Marquedecommentaire">
    <w:name w:val="annotation reference"/>
    <w:basedOn w:val="Policepardfaut"/>
    <w:semiHidden/>
    <w:rsid w:val="00223C3A"/>
    <w:rPr>
      <w:sz w:val="16"/>
      <w:szCs w:val="16"/>
    </w:rPr>
  </w:style>
  <w:style w:type="paragraph" w:styleId="Commentaire">
    <w:name w:val="annotation text"/>
    <w:basedOn w:val="Normal"/>
    <w:semiHidden/>
    <w:rsid w:val="00223C3A"/>
    <w:rPr>
      <w:sz w:val="20"/>
      <w:szCs w:val="20"/>
    </w:rPr>
  </w:style>
  <w:style w:type="paragraph" w:styleId="Objetducommentaire">
    <w:name w:val="annotation subject"/>
    <w:basedOn w:val="Commentaire"/>
    <w:next w:val="Commentaire"/>
    <w:semiHidden/>
    <w:rsid w:val="00223C3A"/>
    <w:rPr>
      <w:b/>
      <w:bCs/>
    </w:rPr>
  </w:style>
  <w:style w:type="paragraph" w:styleId="Textedebulles">
    <w:name w:val="Balloon Text"/>
    <w:basedOn w:val="Normal"/>
    <w:semiHidden/>
    <w:rsid w:val="00223C3A"/>
    <w:rPr>
      <w:rFonts w:ascii="Tahoma" w:hAnsi="Tahoma" w:cs="Tahoma"/>
      <w:sz w:val="16"/>
      <w:szCs w:val="16"/>
    </w:rPr>
  </w:style>
  <w:style w:type="paragraph" w:styleId="Paragraphedeliste">
    <w:name w:val="List Paragraph"/>
    <w:basedOn w:val="Normal"/>
    <w:uiPriority w:val="34"/>
    <w:qFormat/>
    <w:rsid w:val="001D5B4D"/>
    <w:pPr>
      <w:ind w:left="720"/>
      <w:contextualSpacing/>
    </w:pPr>
  </w:style>
  <w:style w:type="character" w:customStyle="1" w:styleId="Titre3Car">
    <w:name w:val="Titre 3 Car"/>
    <w:basedOn w:val="Policepardfaut"/>
    <w:link w:val="Titre3"/>
    <w:rsid w:val="00D2304D"/>
    <w:rPr>
      <w:rFonts w:ascii="Arial" w:hAnsi="Arial" w:cs="Arial"/>
      <w:b/>
      <w:bCs/>
      <w:sz w:val="26"/>
      <w:szCs w:val="26"/>
      <w:lang w:eastAsia="ja-JP"/>
    </w:rPr>
  </w:style>
  <w:style w:type="character" w:customStyle="1" w:styleId="Titre2Car">
    <w:name w:val="Titre 2 Car"/>
    <w:basedOn w:val="Policepardfaut"/>
    <w:link w:val="Titre2"/>
    <w:rsid w:val="00667567"/>
    <w:rPr>
      <w:rFonts w:ascii="Arial" w:hAnsi="Arial" w:cs="Arial"/>
      <w:b/>
      <w:bCs/>
      <w:i/>
      <w:iCs/>
      <w:sz w:val="28"/>
      <w:szCs w:val="28"/>
      <w:lang w:eastAsia="ja-JP"/>
    </w:rPr>
  </w:style>
  <w:style w:type="paragraph" w:styleId="En-tte">
    <w:name w:val="header"/>
    <w:basedOn w:val="Normal"/>
    <w:link w:val="En-tteCar"/>
    <w:rsid w:val="000638EE"/>
    <w:pPr>
      <w:tabs>
        <w:tab w:val="center" w:pos="4536"/>
        <w:tab w:val="right" w:pos="9072"/>
      </w:tabs>
    </w:pPr>
  </w:style>
  <w:style w:type="character" w:customStyle="1" w:styleId="En-tteCar">
    <w:name w:val="En-tête Car"/>
    <w:basedOn w:val="Policepardfaut"/>
    <w:link w:val="En-tte"/>
    <w:rsid w:val="000638EE"/>
    <w:rPr>
      <w:sz w:val="24"/>
      <w:szCs w:val="24"/>
      <w:lang w:eastAsia="ja-JP"/>
    </w:rPr>
  </w:style>
  <w:style w:type="paragraph" w:styleId="Pieddepage">
    <w:name w:val="footer"/>
    <w:basedOn w:val="Normal"/>
    <w:link w:val="PieddepageCar"/>
    <w:uiPriority w:val="99"/>
    <w:rsid w:val="000638EE"/>
    <w:pPr>
      <w:tabs>
        <w:tab w:val="center" w:pos="4536"/>
        <w:tab w:val="right" w:pos="9072"/>
      </w:tabs>
    </w:pPr>
  </w:style>
  <w:style w:type="character" w:customStyle="1" w:styleId="PieddepageCar">
    <w:name w:val="Pied de page Car"/>
    <w:basedOn w:val="Policepardfaut"/>
    <w:link w:val="Pieddepage"/>
    <w:uiPriority w:val="99"/>
    <w:rsid w:val="000638EE"/>
    <w:rPr>
      <w:sz w:val="24"/>
      <w:szCs w:val="24"/>
      <w:lang w:eastAsia="ja-JP"/>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wmf"/><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image" Target="media/image25.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oleObject" Target="embeddings/oleObject2.bin"/><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wmf"/><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oleObject1.bin"/><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328E5C4-FCF5-4638-B9D1-6BF12AD68E7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580</TotalTime>
  <Pages>1</Pages>
  <Words>3099</Words>
  <Characters>17047</Characters>
  <Application>Microsoft Office Word</Application>
  <DocSecurity>0</DocSecurity>
  <Lines>142</Lines>
  <Paragraphs>40</Paragraphs>
  <ScaleCrop>false</ScaleCrop>
  <HeadingPairs>
    <vt:vector size="2" baseType="variant">
      <vt:variant>
        <vt:lpstr>Titre</vt:lpstr>
      </vt:variant>
      <vt:variant>
        <vt:i4>1</vt:i4>
      </vt:variant>
    </vt:vector>
  </HeadingPairs>
  <TitlesOfParts>
    <vt:vector size="1" baseType="lpstr">
      <vt:lpstr>MEMO</vt:lpstr>
    </vt:vector>
  </TitlesOfParts>
  <Company>Laboratoire de l'Accélérateur Linéaire</Company>
  <LinksUpToDate>false</LinksUpToDate>
  <CharactersWithSpaces>20106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dc:title>
  <dc:subject/>
  <dc:creator>J.E Campagne</dc:creator>
  <cp:keywords/>
  <dc:description/>
  <cp:lastModifiedBy>J.E CAMPAGNE</cp:lastModifiedBy>
  <cp:revision>4</cp:revision>
  <cp:lastPrinted>2008-10-27T12:57:00Z</cp:lastPrinted>
  <dcterms:created xsi:type="dcterms:W3CDTF">2011-11-17T07:12:00Z</dcterms:created>
  <dcterms:modified xsi:type="dcterms:W3CDTF">2011-11-18T15:37:00Z</dcterms:modified>
</cp:coreProperties>
</file>